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40E2" w14:textId="77777777" w:rsidR="00C21C34" w:rsidRPr="00C21C34" w:rsidRDefault="00C21C34" w:rsidP="00C21C34">
      <w:pPr>
        <w:spacing w:line="240" w:lineRule="auto"/>
      </w:pPr>
    </w:p>
    <w:p w14:paraId="03D50B93" w14:textId="77777777" w:rsidR="00C21C34" w:rsidRPr="00C21C34" w:rsidRDefault="00C21C34" w:rsidP="00C21C34">
      <w:pPr>
        <w:spacing w:line="240" w:lineRule="auto"/>
      </w:pPr>
    </w:p>
    <w:p w14:paraId="1F29C86B" w14:textId="77777777" w:rsidR="00C21C34" w:rsidRPr="00C21C34" w:rsidRDefault="00C21C34" w:rsidP="00C21C34">
      <w:pPr>
        <w:jc w:val="center"/>
        <w:rPr>
          <w:b/>
        </w:rPr>
      </w:pPr>
      <w:r w:rsidRPr="00C21C34">
        <w:rPr>
          <w:b/>
        </w:rPr>
        <w:t>FINAL SUMMARY OVERVIEW</w:t>
      </w:r>
    </w:p>
    <w:p w14:paraId="20FA6553" w14:textId="77777777" w:rsidR="00C21C34" w:rsidRPr="00C21C34" w:rsidRDefault="00C21C34" w:rsidP="00C21C34">
      <w:pPr>
        <w:jc w:val="center"/>
        <w:rPr>
          <w:b/>
        </w:rPr>
      </w:pPr>
      <w:r w:rsidRPr="00C21C34">
        <w:rPr>
          <w:b/>
        </w:rPr>
        <w:t>Understanding Incarceration and Re-Entry Experiences of Female Inmates and their Children: The Women’s Prison Inmate Networks Study (WO-PINS)</w:t>
      </w:r>
    </w:p>
    <w:p w14:paraId="410DDA53" w14:textId="77777777" w:rsidR="00C21C34" w:rsidRPr="00C21C34" w:rsidRDefault="00C21C34" w:rsidP="00C21C34">
      <w:pPr>
        <w:jc w:val="center"/>
        <w:rPr>
          <w:b/>
        </w:rPr>
      </w:pPr>
    </w:p>
    <w:p w14:paraId="4B7D6C55" w14:textId="77777777" w:rsidR="00C21C34" w:rsidRPr="00C21C34" w:rsidRDefault="00C21C34" w:rsidP="00C21C34">
      <w:pPr>
        <w:jc w:val="center"/>
        <w:rPr>
          <w:b/>
        </w:rPr>
      </w:pPr>
      <w:r w:rsidRPr="00C21C34">
        <w:rPr>
          <w:b/>
        </w:rPr>
        <w:t>Grantee Organization: Pennsylvania State University</w:t>
      </w:r>
    </w:p>
    <w:p w14:paraId="25B1CBFA" w14:textId="77777777" w:rsidR="00C21C34" w:rsidRPr="00C21C34" w:rsidRDefault="00C21C34" w:rsidP="00C21C34">
      <w:pPr>
        <w:jc w:val="center"/>
        <w:rPr>
          <w:b/>
        </w:rPr>
      </w:pPr>
      <w:r w:rsidRPr="00C21C34">
        <w:rPr>
          <w:b/>
        </w:rPr>
        <w:t>Award: 2016-MU-MU-0011</w:t>
      </w:r>
    </w:p>
    <w:p w14:paraId="30EAFA28" w14:textId="77777777" w:rsidR="00C21C34" w:rsidRPr="00C21C34" w:rsidRDefault="00C21C34" w:rsidP="00C21C34">
      <w:pPr>
        <w:jc w:val="center"/>
        <w:rPr>
          <w:b/>
        </w:rPr>
      </w:pPr>
    </w:p>
    <w:p w14:paraId="418B9D2F" w14:textId="77777777" w:rsidR="00C21C34" w:rsidRPr="00C21C34" w:rsidRDefault="00C21C34" w:rsidP="00C21C34">
      <w:pPr>
        <w:jc w:val="center"/>
        <w:rPr>
          <w:b/>
        </w:rPr>
      </w:pPr>
      <w:r w:rsidRPr="00C21C34">
        <w:rPr>
          <w:b/>
        </w:rPr>
        <w:t>Principal Investigators</w:t>
      </w:r>
    </w:p>
    <w:p w14:paraId="2419E6F2" w14:textId="77777777" w:rsidR="00C21C34" w:rsidRPr="00C21C34" w:rsidRDefault="00C21C34" w:rsidP="00C21C34">
      <w:pPr>
        <w:jc w:val="center"/>
        <w:rPr>
          <w:b/>
        </w:rPr>
        <w:sectPr w:rsidR="00C21C34" w:rsidRPr="00C21C34">
          <w:footerReference w:type="default" r:id="rId11"/>
          <w:pgSz w:w="12240" w:h="15840"/>
          <w:pgMar w:top="1440" w:right="1440" w:bottom="1440" w:left="1440" w:header="720" w:footer="720" w:gutter="0"/>
          <w:cols w:space="720"/>
          <w:docGrid w:linePitch="360"/>
        </w:sectPr>
      </w:pPr>
    </w:p>
    <w:p w14:paraId="10BDA7B6" w14:textId="77777777" w:rsidR="00C21C34" w:rsidRPr="00C21C34" w:rsidRDefault="00C21C34" w:rsidP="00C21C34">
      <w:pPr>
        <w:spacing w:line="240" w:lineRule="auto"/>
        <w:ind w:firstLine="180"/>
        <w:jc w:val="center"/>
      </w:pPr>
      <w:r w:rsidRPr="00C21C34">
        <w:t>Derek A. Kreager, PhD</w:t>
      </w:r>
    </w:p>
    <w:p w14:paraId="56D7A3C5" w14:textId="77777777" w:rsidR="00C21C34" w:rsidRPr="00C21C34" w:rsidRDefault="00C21C34" w:rsidP="00C21C34">
      <w:pPr>
        <w:spacing w:line="240" w:lineRule="auto"/>
        <w:jc w:val="center"/>
      </w:pPr>
      <w:r w:rsidRPr="00C21C34">
        <w:t>Department of Sociology and Criminology</w:t>
      </w:r>
    </w:p>
    <w:p w14:paraId="29B28E51" w14:textId="77777777" w:rsidR="00C21C34" w:rsidRPr="00C21C34" w:rsidRDefault="00C21C34" w:rsidP="00C21C34">
      <w:pPr>
        <w:spacing w:line="240" w:lineRule="auto"/>
        <w:jc w:val="center"/>
      </w:pPr>
      <w:r w:rsidRPr="00C21C34">
        <w:t>Pennsylvania State University</w:t>
      </w:r>
    </w:p>
    <w:p w14:paraId="420A736C" w14:textId="77777777" w:rsidR="00C21C34" w:rsidRPr="00C21C34" w:rsidRDefault="00C21C34" w:rsidP="00C21C34">
      <w:pPr>
        <w:spacing w:line="240" w:lineRule="auto"/>
        <w:jc w:val="center"/>
      </w:pPr>
      <w:r w:rsidRPr="00C21C34">
        <w:t>211 Oswald Tower</w:t>
      </w:r>
    </w:p>
    <w:p w14:paraId="25FAC057" w14:textId="77777777" w:rsidR="00C21C34" w:rsidRPr="00C21C34" w:rsidRDefault="00C21C34" w:rsidP="00C21C34">
      <w:pPr>
        <w:spacing w:line="240" w:lineRule="auto"/>
        <w:jc w:val="center"/>
      </w:pPr>
      <w:r w:rsidRPr="00C21C34">
        <w:t>University Park, PA 16802-6207</w:t>
      </w:r>
    </w:p>
    <w:p w14:paraId="1FB195BC" w14:textId="77777777" w:rsidR="00C21C34" w:rsidRPr="00C21C34" w:rsidRDefault="00C21C34" w:rsidP="00C21C34">
      <w:pPr>
        <w:spacing w:line="240" w:lineRule="auto"/>
        <w:jc w:val="center"/>
      </w:pPr>
      <w:r w:rsidRPr="00C21C34">
        <w:br w:type="column"/>
      </w:r>
      <w:r w:rsidRPr="00C21C34">
        <w:t>Sara Wakefield, PhD</w:t>
      </w:r>
    </w:p>
    <w:p w14:paraId="7ACA15C0" w14:textId="77777777" w:rsidR="00C21C34" w:rsidRPr="00C21C34" w:rsidRDefault="00C21C34" w:rsidP="00C21C34">
      <w:pPr>
        <w:spacing w:line="240" w:lineRule="auto"/>
        <w:jc w:val="center"/>
      </w:pPr>
      <w:r w:rsidRPr="00C21C34">
        <w:t>School of Criminal Justice</w:t>
      </w:r>
    </w:p>
    <w:p w14:paraId="35B15964" w14:textId="77777777" w:rsidR="00C21C34" w:rsidRPr="00C21C34" w:rsidRDefault="00C21C34" w:rsidP="00C21C34">
      <w:pPr>
        <w:spacing w:line="240" w:lineRule="auto"/>
        <w:jc w:val="center"/>
      </w:pPr>
      <w:r w:rsidRPr="00C21C34">
        <w:t>Rutgers University</w:t>
      </w:r>
    </w:p>
    <w:p w14:paraId="6FBF27DE" w14:textId="77777777" w:rsidR="00C21C34" w:rsidRPr="00C21C34" w:rsidRDefault="00C21C34" w:rsidP="00C21C34">
      <w:pPr>
        <w:spacing w:line="240" w:lineRule="auto"/>
        <w:jc w:val="center"/>
      </w:pPr>
      <w:r w:rsidRPr="00C21C34">
        <w:t>123 Washington Street</w:t>
      </w:r>
    </w:p>
    <w:p w14:paraId="136967FD" w14:textId="77777777" w:rsidR="00C21C34" w:rsidRPr="00C21C34" w:rsidRDefault="00C21C34" w:rsidP="00C21C34">
      <w:pPr>
        <w:spacing w:line="240" w:lineRule="auto"/>
        <w:jc w:val="center"/>
      </w:pPr>
      <w:r w:rsidRPr="00C21C34">
        <w:t>Newark, NJ 07102-3094</w:t>
      </w:r>
    </w:p>
    <w:p w14:paraId="4DC6FD99" w14:textId="77777777" w:rsidR="00C21C34" w:rsidRPr="00C21C34" w:rsidRDefault="00C21C34" w:rsidP="00C21C34">
      <w:pPr>
        <w:spacing w:line="240" w:lineRule="auto"/>
        <w:jc w:val="center"/>
        <w:sectPr w:rsidR="00C21C34" w:rsidRPr="00C21C34" w:rsidSect="00CC2E73">
          <w:type w:val="continuous"/>
          <w:pgSz w:w="12240" w:h="15840"/>
          <w:pgMar w:top="1440" w:right="1440" w:bottom="1440" w:left="1440" w:header="720" w:footer="720" w:gutter="0"/>
          <w:cols w:num="2" w:space="720"/>
          <w:docGrid w:linePitch="360"/>
        </w:sectPr>
      </w:pPr>
    </w:p>
    <w:p w14:paraId="65FBA242" w14:textId="5DA81E4B" w:rsidR="00C21C34" w:rsidRPr="00C21C34" w:rsidRDefault="00C21C34" w:rsidP="00C21C34">
      <w:pPr>
        <w:spacing w:line="240" w:lineRule="auto"/>
        <w:jc w:val="center"/>
      </w:pPr>
      <w:r>
        <w:t>Dana L. Haynie</w:t>
      </w:r>
      <w:r w:rsidR="06B9108C">
        <w:t>, PhD</w:t>
      </w:r>
    </w:p>
    <w:p w14:paraId="018CA95A" w14:textId="77777777" w:rsidR="00C21C34" w:rsidRPr="00C21C34" w:rsidRDefault="00C21C34" w:rsidP="00C21C34">
      <w:pPr>
        <w:spacing w:line="240" w:lineRule="auto"/>
        <w:jc w:val="center"/>
      </w:pPr>
      <w:r w:rsidRPr="00C21C34">
        <w:t>Department of Sociology</w:t>
      </w:r>
    </w:p>
    <w:p w14:paraId="0C49A057" w14:textId="77777777" w:rsidR="00C21C34" w:rsidRPr="00C21C34" w:rsidRDefault="00C21C34" w:rsidP="00C21C34">
      <w:pPr>
        <w:spacing w:line="240" w:lineRule="auto"/>
        <w:jc w:val="center"/>
      </w:pPr>
      <w:r w:rsidRPr="00C21C34">
        <w:t>The Ohio State University</w:t>
      </w:r>
    </w:p>
    <w:p w14:paraId="7F98D762" w14:textId="77777777" w:rsidR="00C21C34" w:rsidRPr="00C21C34" w:rsidRDefault="00C21C34" w:rsidP="00C21C34">
      <w:pPr>
        <w:spacing w:line="240" w:lineRule="auto"/>
        <w:jc w:val="center"/>
      </w:pPr>
      <w:r w:rsidRPr="00C21C34">
        <w:t>202 Townshend Hall</w:t>
      </w:r>
    </w:p>
    <w:p w14:paraId="258BD5A2" w14:textId="77777777" w:rsidR="00C21C34" w:rsidRPr="00C21C34" w:rsidRDefault="00C21C34" w:rsidP="00C21C34">
      <w:pPr>
        <w:spacing w:line="240" w:lineRule="auto"/>
        <w:jc w:val="center"/>
      </w:pPr>
      <w:r w:rsidRPr="00C21C34">
        <w:t>1885 Neil Avenue</w:t>
      </w:r>
    </w:p>
    <w:p w14:paraId="008F6FDD" w14:textId="77777777" w:rsidR="00C21C34" w:rsidRPr="00C21C34" w:rsidRDefault="00C21C34" w:rsidP="00C21C34">
      <w:pPr>
        <w:spacing w:line="240" w:lineRule="auto"/>
        <w:jc w:val="center"/>
      </w:pPr>
      <w:r w:rsidRPr="00C21C34">
        <w:t>Columbus, OH 43210-1222</w:t>
      </w:r>
    </w:p>
    <w:p w14:paraId="79679995" w14:textId="167BEE94" w:rsidR="00CC2E73" w:rsidRDefault="00CC2E73" w:rsidP="003A2315">
      <w:pPr>
        <w:spacing w:line="240" w:lineRule="auto"/>
        <w:jc w:val="center"/>
      </w:pPr>
    </w:p>
    <w:p w14:paraId="2B7C6A93" w14:textId="5A98ECDE" w:rsidR="00CC2E73" w:rsidRPr="003A2315" w:rsidRDefault="00C80350" w:rsidP="003A2315">
      <w:pPr>
        <w:spacing w:line="240" w:lineRule="auto"/>
        <w:jc w:val="center"/>
        <w:rPr>
          <w:b/>
          <w:bCs/>
        </w:rPr>
      </w:pPr>
      <w:r w:rsidRPr="003A2315">
        <w:rPr>
          <w:b/>
          <w:bCs/>
        </w:rPr>
        <w:t xml:space="preserve"> June</w:t>
      </w:r>
      <w:r w:rsidR="00A50F22" w:rsidRPr="003A2315">
        <w:rPr>
          <w:b/>
          <w:bCs/>
        </w:rPr>
        <w:t xml:space="preserve"> 2021</w:t>
      </w:r>
    </w:p>
    <w:p w14:paraId="654AE9C6" w14:textId="05F72D9F" w:rsidR="00CC2E73" w:rsidRDefault="00CC2E73" w:rsidP="003A2315">
      <w:pPr>
        <w:spacing w:line="240" w:lineRule="auto"/>
      </w:pPr>
    </w:p>
    <w:p w14:paraId="769DD452" w14:textId="1FE74A66" w:rsidR="00CC2E73" w:rsidRDefault="00CC2E73" w:rsidP="003A2315">
      <w:pPr>
        <w:spacing w:line="240" w:lineRule="auto"/>
      </w:pPr>
    </w:p>
    <w:p w14:paraId="3F0F6675" w14:textId="59CAAC68" w:rsidR="00CC2E73" w:rsidRDefault="00CC2E73" w:rsidP="003A2315">
      <w:pPr>
        <w:spacing w:line="240" w:lineRule="auto"/>
      </w:pPr>
      <w:r>
        <w:t xml:space="preserve">Prepared by </w:t>
      </w:r>
      <w:r w:rsidR="009364D2">
        <w:t xml:space="preserve">Theodore Greenfelder, </w:t>
      </w:r>
      <w:r w:rsidR="009364D2" w:rsidRPr="009364D2">
        <w:t xml:space="preserve">Dana L. Haynie, </w:t>
      </w:r>
      <w:r w:rsidR="009364D2">
        <w:t>Derek A. Kreager, Sara Wakefield</w:t>
      </w:r>
      <w:r w:rsidR="000C58B8">
        <w:t>,</w:t>
      </w:r>
      <w:r w:rsidR="00C80350">
        <w:t xml:space="preserve"> </w:t>
      </w:r>
      <w:r w:rsidR="000C58B8">
        <w:t>Sam Nur</w:t>
      </w:r>
      <w:r w:rsidR="00C80350">
        <w:t xml:space="preserve">, and </w:t>
      </w:r>
      <w:r w:rsidR="00C80350" w:rsidRPr="00AC4F3C">
        <w:rPr>
          <w:szCs w:val="24"/>
        </w:rPr>
        <w:t>Julia Dillavou</w:t>
      </w:r>
    </w:p>
    <w:p w14:paraId="707F8F62" w14:textId="77777777" w:rsidR="00CC2E73" w:rsidRDefault="00CC2E73" w:rsidP="003A2315">
      <w:pPr>
        <w:spacing w:line="240" w:lineRule="auto"/>
      </w:pPr>
    </w:p>
    <w:p w14:paraId="4C7BCE75" w14:textId="77777777" w:rsidR="00F71A21" w:rsidRDefault="00CC2E73" w:rsidP="003A2315">
      <w:pPr>
        <w:spacing w:line="240" w:lineRule="auto"/>
        <w:sectPr w:rsidR="00F71A21" w:rsidSect="00F71A21">
          <w:footerReference w:type="default" r:id="rId12"/>
          <w:type w:val="continuous"/>
          <w:pgSz w:w="12240" w:h="15840"/>
          <w:pgMar w:top="1440" w:right="1440" w:bottom="1440" w:left="1440" w:header="720" w:footer="720" w:gutter="0"/>
          <w:pgNumType w:start="0"/>
          <w:cols w:space="720"/>
          <w:titlePg/>
          <w:docGrid w:linePitch="360"/>
        </w:sectPr>
      </w:pPr>
      <w:r w:rsidRPr="00B86221">
        <w:t xml:space="preserve">This project was supported by Award No. </w:t>
      </w:r>
      <w:r>
        <w:t>2016-MU-MU-0011</w:t>
      </w:r>
      <w:r w:rsidRPr="00B86221">
        <w:t>, awarded by the National Institute of Justice, Office of Justice Programs, U.S. Department of Justice. The opinions, findings, and conclusions or recommendations expressed in this report are those of the authors and do not necessarily reflect those of the Department of Justice.</w:t>
      </w:r>
    </w:p>
    <w:p w14:paraId="6C058BF6" w14:textId="443534C1" w:rsidR="009364D2" w:rsidRPr="00A50F22" w:rsidRDefault="009364D2">
      <w:pPr>
        <w:pStyle w:val="Heading1"/>
      </w:pPr>
      <w:r w:rsidRPr="00A50F22">
        <w:lastRenderedPageBreak/>
        <w:t>PURPOSE</w:t>
      </w:r>
    </w:p>
    <w:p w14:paraId="2A688F82" w14:textId="2388F3A2" w:rsidR="009364D2" w:rsidRPr="009364D2" w:rsidRDefault="008C6EC9">
      <w:r>
        <w:t>T</w:t>
      </w:r>
      <w:r w:rsidR="009364D2" w:rsidRPr="009364D2">
        <w:t>he U.S. incarceration rate over the past 40 years reached “historically unprecedented and internationally unique” levels</w:t>
      </w:r>
      <w:r w:rsidR="00BD76C7">
        <w:t xml:space="preserve"> </w:t>
      </w:r>
      <w:r w:rsidRPr="008C6EC9">
        <w:t>(N</w:t>
      </w:r>
      <w:r w:rsidR="00B65A5D">
        <w:t xml:space="preserve">ational </w:t>
      </w:r>
      <w:r w:rsidRPr="008C6EC9">
        <w:t>A</w:t>
      </w:r>
      <w:r w:rsidR="00B65A5D">
        <w:t xml:space="preserve">cademy of </w:t>
      </w:r>
      <w:r w:rsidRPr="008C6EC9">
        <w:t>S</w:t>
      </w:r>
      <w:r w:rsidR="00B65A5D">
        <w:t>ciences</w:t>
      </w:r>
      <w:r w:rsidR="00BE6D7F">
        <w:t>,</w:t>
      </w:r>
      <w:r w:rsidRPr="008C6EC9">
        <w:t xml:space="preserve"> 2014:2)</w:t>
      </w:r>
      <w:r w:rsidR="009364D2" w:rsidRPr="009364D2">
        <w:t xml:space="preserve">.  Rising imprisonment was even more expansive for women compared to men, with the female incarceration rate rising twice as rapidly as the male incarceration rate (Carson </w:t>
      </w:r>
      <w:r w:rsidR="00BE6D7F">
        <w:t>&amp;</w:t>
      </w:r>
      <w:r w:rsidR="009364D2" w:rsidRPr="009364D2">
        <w:t xml:space="preserve"> Sabol</w:t>
      </w:r>
      <w:r w:rsidR="00BE6D7F">
        <w:t>,</w:t>
      </w:r>
      <w:r w:rsidR="009364D2" w:rsidRPr="009364D2">
        <w:t xml:space="preserve"> 2012). Growing numbers of </w:t>
      </w:r>
      <w:r w:rsidR="001A5045">
        <w:t>incarcerated women</w:t>
      </w:r>
      <w:r w:rsidR="009364D2" w:rsidRPr="009364D2">
        <w:t xml:space="preserve"> may be particularly consequential for child well-being, as </w:t>
      </w:r>
      <w:r w:rsidR="008124DE">
        <w:t>female prisoners</w:t>
      </w:r>
      <w:r w:rsidR="009364D2" w:rsidRPr="009364D2">
        <w:t xml:space="preserve"> are much more likely than their male counterparts to have been primary caregivers of minor children at the time of their imprisonment (Glaze </w:t>
      </w:r>
      <w:r w:rsidR="00BE6D7F">
        <w:t>&amp;</w:t>
      </w:r>
      <w:r w:rsidR="009364D2" w:rsidRPr="009364D2">
        <w:t xml:space="preserve"> Maruschak</w:t>
      </w:r>
      <w:r w:rsidR="00BE6D7F">
        <w:t>,</w:t>
      </w:r>
      <w:r w:rsidR="009364D2" w:rsidRPr="009364D2">
        <w:t xml:space="preserve"> 2008). Moreover, for both men and women, mass incarceration has disproportionately affected black, young, and disadvantaged populations. </w:t>
      </w:r>
      <w:r w:rsidR="00BF04C1">
        <w:t>T</w:t>
      </w:r>
      <w:r w:rsidR="009364D2" w:rsidRPr="009364D2">
        <w:t xml:space="preserve">he current era of </w:t>
      </w:r>
      <w:r w:rsidR="00BF04C1">
        <w:t>hyper</w:t>
      </w:r>
      <w:r w:rsidR="00E56957">
        <w:t>-</w:t>
      </w:r>
      <w:r w:rsidR="009364D2" w:rsidRPr="009364D2">
        <w:t>incarceration has unequivocally contributed to rising social inequality and negative health outcomes.</w:t>
      </w:r>
      <w:r w:rsidR="00587C0B">
        <w:t xml:space="preserve"> Simultaneously, </w:t>
      </w:r>
      <w:r w:rsidR="00074F9F">
        <w:t xml:space="preserve">academic studies of incarceration </w:t>
      </w:r>
      <w:r w:rsidR="009A0EAD">
        <w:t>and post-incarceration</w:t>
      </w:r>
      <w:r w:rsidR="00587C0B">
        <w:t xml:space="preserve"> experiences, particularly among women, have </w:t>
      </w:r>
      <w:r w:rsidR="007212D9">
        <w:t xml:space="preserve">remained </w:t>
      </w:r>
      <w:r w:rsidR="00E348CB">
        <w:t xml:space="preserve">relatively </w:t>
      </w:r>
      <w:r w:rsidR="00E4125B">
        <w:t>infrequent</w:t>
      </w:r>
      <w:r w:rsidR="006930F3">
        <w:t>.</w:t>
      </w:r>
      <w:r w:rsidR="009364D2" w:rsidRPr="009364D2">
        <w:t xml:space="preserve">  </w:t>
      </w:r>
    </w:p>
    <w:p w14:paraId="6C2BC1D4" w14:textId="55EFD85B" w:rsidR="009364D2" w:rsidRPr="009364D2" w:rsidRDefault="009364D2">
      <w:r w:rsidRPr="009364D2">
        <w:tab/>
      </w:r>
      <w:r w:rsidR="008D60C7">
        <w:t>This project</w:t>
      </w:r>
      <w:r w:rsidR="007E0794">
        <w:t>, the Women’s Prison Inmate Network Study (WO-PINS),</w:t>
      </w:r>
      <w:r w:rsidR="008D60C7">
        <w:t xml:space="preserve"> applied an</w:t>
      </w:r>
      <w:r w:rsidRPr="009364D2">
        <w:t xml:space="preserve"> innovative mixed-methods </w:t>
      </w:r>
      <w:r w:rsidR="008D60C7">
        <w:t>design</w:t>
      </w:r>
      <w:r w:rsidRPr="009364D2">
        <w:t xml:space="preserve"> focused on the conditions of confinement and community re-entry experiences of </w:t>
      </w:r>
      <w:r w:rsidR="00127BE3">
        <w:t>women incarcerated</w:t>
      </w:r>
      <w:r w:rsidRPr="009364D2">
        <w:t xml:space="preserve"> in </w:t>
      </w:r>
      <w:r w:rsidR="008D60C7">
        <w:t xml:space="preserve">two </w:t>
      </w:r>
      <w:r w:rsidRPr="009364D2">
        <w:t xml:space="preserve">Pennsylvania </w:t>
      </w:r>
      <w:r w:rsidR="008D60C7">
        <w:t>w</w:t>
      </w:r>
      <w:r w:rsidRPr="009364D2">
        <w:t>ome</w:t>
      </w:r>
      <w:r w:rsidR="00321775">
        <w:t xml:space="preserve">n’s </w:t>
      </w:r>
      <w:r w:rsidRPr="009364D2">
        <w:t xml:space="preserve">prisons. </w:t>
      </w:r>
      <w:r w:rsidR="00B052CE">
        <w:t>It extends a prior study</w:t>
      </w:r>
      <w:r w:rsidR="00A26D4B">
        <w:t>, the Prison Inmate Networks Study (PINS),</w:t>
      </w:r>
      <w:r w:rsidR="00B052CE">
        <w:t xml:space="preserve"> focused on the social organization within a men’s prison unit</w:t>
      </w:r>
      <w:r w:rsidR="00A26D4B">
        <w:t xml:space="preserve"> and permits gender comparisons to elucidate</w:t>
      </w:r>
      <w:r w:rsidR="00B052CE">
        <w:t xml:space="preserve"> </w:t>
      </w:r>
      <w:r w:rsidR="00A26D4B">
        <w:t xml:space="preserve">potential </w:t>
      </w:r>
      <w:r w:rsidR="00B052CE">
        <w:t xml:space="preserve">differences and similarities in prison social structure and </w:t>
      </w:r>
      <w:r w:rsidR="00A26D4B">
        <w:t>health across men’s and women’s prison contexts</w:t>
      </w:r>
      <w:r w:rsidR="00B052CE">
        <w:t>.</w:t>
      </w:r>
      <w:r w:rsidR="00B052CE">
        <w:rPr>
          <w:rStyle w:val="FootnoteReference"/>
        </w:rPr>
        <w:footnoteReference w:id="2"/>
      </w:r>
      <w:r w:rsidR="00B052CE">
        <w:t xml:space="preserve"> </w:t>
      </w:r>
      <w:r w:rsidRPr="009364D2">
        <w:t xml:space="preserve">The </w:t>
      </w:r>
      <w:r w:rsidR="00A26D4B">
        <w:t xml:space="preserve">current </w:t>
      </w:r>
      <w:r w:rsidRPr="009364D2">
        <w:t>project unfold</w:t>
      </w:r>
      <w:r w:rsidR="008D60C7">
        <w:t>ed</w:t>
      </w:r>
      <w:r w:rsidRPr="009364D2">
        <w:t xml:space="preserve"> in three phases. </w:t>
      </w:r>
      <w:r w:rsidR="0093299E">
        <w:t>In</w:t>
      </w:r>
      <w:r w:rsidRPr="009364D2">
        <w:t xml:space="preserve"> </w:t>
      </w:r>
      <w:r w:rsidRPr="009364D2">
        <w:rPr>
          <w:b/>
        </w:rPr>
        <w:t>Phase 1</w:t>
      </w:r>
      <w:r w:rsidRPr="009364D2">
        <w:t>, we design</w:t>
      </w:r>
      <w:r w:rsidR="008D60C7">
        <w:t>ed</w:t>
      </w:r>
      <w:r w:rsidRPr="009364D2">
        <w:t xml:space="preserve"> and implement</w:t>
      </w:r>
      <w:r w:rsidR="008D60C7">
        <w:t>ed</w:t>
      </w:r>
      <w:r w:rsidRPr="009364D2">
        <w:t xml:space="preserve"> a network </w:t>
      </w:r>
      <w:r w:rsidRPr="009364D2">
        <w:lastRenderedPageBreak/>
        <w:t xml:space="preserve">and health survey administered to </w:t>
      </w:r>
      <w:r w:rsidR="00A10509">
        <w:t>residents</w:t>
      </w:r>
      <w:r w:rsidRPr="009364D2">
        <w:t xml:space="preserve"> in </w:t>
      </w:r>
      <w:r w:rsidR="008D60C7">
        <w:t>three</w:t>
      </w:r>
      <w:r w:rsidRPr="009364D2">
        <w:t xml:space="preserve"> </w:t>
      </w:r>
      <w:r w:rsidR="00A10509">
        <w:t xml:space="preserve">women’s </w:t>
      </w:r>
      <w:r w:rsidRPr="009364D2">
        <w:t>unit</w:t>
      </w:r>
      <w:r w:rsidR="008D60C7">
        <w:t>s</w:t>
      </w:r>
      <w:r w:rsidRPr="009364D2">
        <w:t xml:space="preserve"> in </w:t>
      </w:r>
      <w:r w:rsidR="00A10509">
        <w:t>two</w:t>
      </w:r>
      <w:r w:rsidRPr="009364D2">
        <w:t xml:space="preserve"> prisons </w:t>
      </w:r>
      <w:r w:rsidR="008D60C7">
        <w:t>(one m</w:t>
      </w:r>
      <w:r w:rsidR="00A10509">
        <w:t>inimum-</w:t>
      </w:r>
      <w:r w:rsidR="008D60C7">
        <w:t xml:space="preserve">security </w:t>
      </w:r>
      <w:r w:rsidR="00A10509">
        <w:t xml:space="preserve">prison </w:t>
      </w:r>
      <w:r w:rsidR="008D60C7">
        <w:t>and one maximum</w:t>
      </w:r>
      <w:r w:rsidR="00A10509">
        <w:t>-</w:t>
      </w:r>
      <w:r w:rsidR="008D60C7">
        <w:t>security</w:t>
      </w:r>
      <w:r w:rsidR="00A10509">
        <w:t xml:space="preserve"> prison</w:t>
      </w:r>
      <w:r w:rsidR="008D60C7">
        <w:t>)</w:t>
      </w:r>
      <w:r w:rsidRPr="009364D2">
        <w:t xml:space="preserve">.  The emphasis of this phase </w:t>
      </w:r>
      <w:r w:rsidR="008D60C7">
        <w:t>was</w:t>
      </w:r>
      <w:r w:rsidRPr="009364D2">
        <w:t xml:space="preserve"> to understand the informal social structures within the prison units and </w:t>
      </w:r>
      <w:r w:rsidR="008D60C7">
        <w:t>prisoners</w:t>
      </w:r>
      <w:r w:rsidRPr="009364D2">
        <w:t xml:space="preserve">’ positions within those structures. </w:t>
      </w:r>
    </w:p>
    <w:p w14:paraId="65B7DEB2" w14:textId="27EEB738" w:rsidR="009364D2" w:rsidRPr="009364D2" w:rsidRDefault="009364D2">
      <w:r w:rsidRPr="009364D2">
        <w:tab/>
      </w:r>
      <w:r w:rsidR="0093299E">
        <w:t xml:space="preserve">In </w:t>
      </w:r>
      <w:r w:rsidRPr="009364D2">
        <w:rPr>
          <w:b/>
        </w:rPr>
        <w:t>Phase 2</w:t>
      </w:r>
      <w:r w:rsidRPr="009364D2">
        <w:t>, w</w:t>
      </w:r>
      <w:r w:rsidR="008D60C7">
        <w:t>e</w:t>
      </w:r>
      <w:r w:rsidRPr="009364D2">
        <w:t xml:space="preserve"> identif</w:t>
      </w:r>
      <w:r w:rsidR="008D60C7">
        <w:t>ied</w:t>
      </w:r>
      <w:r w:rsidRPr="009364D2">
        <w:t xml:space="preserve"> and recruit</w:t>
      </w:r>
      <w:r w:rsidR="008D60C7">
        <w:t>ed</w:t>
      </w:r>
      <w:r w:rsidRPr="009364D2">
        <w:t xml:space="preserve"> </w:t>
      </w:r>
      <w:r w:rsidR="008D60C7">
        <w:t>p</w:t>
      </w:r>
      <w:r w:rsidRPr="009364D2">
        <w:t>articipa</w:t>
      </w:r>
      <w:r w:rsidR="008D60C7">
        <w:t>nts</w:t>
      </w:r>
      <w:r w:rsidRPr="009364D2">
        <w:t xml:space="preserve"> in Phase 1 who </w:t>
      </w:r>
      <w:r w:rsidR="008D60C7">
        <w:t>were</w:t>
      </w:r>
      <w:r w:rsidRPr="009364D2">
        <w:t xml:space="preserve"> release-eligible within one year of the baseline survey. </w:t>
      </w:r>
      <w:r w:rsidR="005374F7">
        <w:t>The incarcerated women</w:t>
      </w:r>
      <w:r w:rsidRPr="009364D2">
        <w:t xml:space="preserve"> </w:t>
      </w:r>
      <w:r w:rsidR="008D60C7">
        <w:t>were</w:t>
      </w:r>
      <w:r w:rsidRPr="009364D2">
        <w:t xml:space="preserve"> administered semi-structured interviews prior to release to understand their future concerns and expectations about reentry. Of particular interest w</w:t>
      </w:r>
      <w:r w:rsidR="008D60C7">
        <w:t>ere incarcerated</w:t>
      </w:r>
      <w:r w:rsidRPr="009364D2">
        <w:t xml:space="preserve"> mothers’ plans and expectations for child reunification. While respondents with children remain</w:t>
      </w:r>
      <w:r w:rsidR="008D60C7">
        <w:t>ed</w:t>
      </w:r>
      <w:r w:rsidRPr="009364D2">
        <w:t xml:space="preserve"> incarcerated, we interview</w:t>
      </w:r>
      <w:r w:rsidR="008D60C7">
        <w:t>ed</w:t>
      </w:r>
      <w:r w:rsidRPr="009364D2">
        <w:t xml:space="preserve"> primary caregiver</w:t>
      </w:r>
      <w:r w:rsidR="008D60C7">
        <w:t>s</w:t>
      </w:r>
      <w:r w:rsidRPr="009364D2">
        <w:t xml:space="preserve"> of </w:t>
      </w:r>
      <w:r w:rsidR="008D60C7">
        <w:t>incarcerated</w:t>
      </w:r>
      <w:r w:rsidRPr="009364D2">
        <w:t xml:space="preserve"> mothers’ children and at least one child. </w:t>
      </w:r>
      <w:r w:rsidR="008D60C7">
        <w:t xml:space="preserve">Caregiver </w:t>
      </w:r>
      <w:r w:rsidRPr="009364D2">
        <w:t>interviews examine</w:t>
      </w:r>
      <w:r w:rsidR="008D60C7">
        <w:t>d</w:t>
      </w:r>
      <w:r w:rsidRPr="009364D2">
        <w:t xml:space="preserve"> the burdens imposed on caregivers by the mother’s incarceration and the caregivers support plans (or lack thereof) for returning incarcerated mothers (</w:t>
      </w:r>
      <w:proofErr w:type="spellStart"/>
      <w:r w:rsidRPr="009364D2">
        <w:t>Turnanovic</w:t>
      </w:r>
      <w:proofErr w:type="spellEnd"/>
      <w:r w:rsidRPr="009364D2">
        <w:t xml:space="preserve">, Rodriguez, </w:t>
      </w:r>
      <w:r w:rsidR="00D769F8">
        <w:t>&amp;</w:t>
      </w:r>
      <w:r w:rsidRPr="009364D2">
        <w:t xml:space="preserve"> Pratt</w:t>
      </w:r>
      <w:r w:rsidR="00D769F8">
        <w:t>,</w:t>
      </w:r>
      <w:r w:rsidRPr="009364D2">
        <w:t xml:space="preserve"> 2012). The child interview</w:t>
      </w:r>
      <w:r w:rsidR="008D60C7">
        <w:t>s</w:t>
      </w:r>
      <w:r w:rsidRPr="009364D2">
        <w:t xml:space="preserve"> measure</w:t>
      </w:r>
      <w:r w:rsidR="008D60C7">
        <w:t>d</w:t>
      </w:r>
      <w:r w:rsidRPr="009364D2">
        <w:t xml:space="preserve"> retrospective experiences prior to their mother’s incarceration, current health and adjustment, and children’s expectations and fears related to the reunification process</w:t>
      </w:r>
    </w:p>
    <w:p w14:paraId="59E73618" w14:textId="4237D624" w:rsidR="009364D2" w:rsidRDefault="0093299E" w:rsidP="003A2315">
      <w:pPr>
        <w:ind w:firstLine="720"/>
      </w:pPr>
      <w:r w:rsidRPr="0093299E">
        <w:t>In</w:t>
      </w:r>
      <w:r>
        <w:rPr>
          <w:b/>
        </w:rPr>
        <w:t xml:space="preserve"> </w:t>
      </w:r>
      <w:r w:rsidR="009364D2" w:rsidRPr="009364D2">
        <w:rPr>
          <w:b/>
        </w:rPr>
        <w:t>Phase 3</w:t>
      </w:r>
      <w:r>
        <w:rPr>
          <w:b/>
        </w:rPr>
        <w:t xml:space="preserve">, </w:t>
      </w:r>
      <w:r>
        <w:t>we</w:t>
      </w:r>
      <w:r w:rsidR="009364D2" w:rsidRPr="009364D2">
        <w:t xml:space="preserve"> follow</w:t>
      </w:r>
      <w:r w:rsidR="008D60C7">
        <w:t>ed</w:t>
      </w:r>
      <w:r w:rsidR="009364D2" w:rsidRPr="009364D2">
        <w:t xml:space="preserve"> paroled </w:t>
      </w:r>
      <w:r w:rsidR="008D60C7">
        <w:t>prisoners</w:t>
      </w:r>
      <w:r w:rsidR="009364D2" w:rsidRPr="009364D2">
        <w:t xml:space="preserve"> and their children for follow-up interviews after </w:t>
      </w:r>
      <w:r w:rsidR="008D60C7">
        <w:t>p</w:t>
      </w:r>
      <w:r w:rsidR="009364D2" w:rsidRPr="009364D2">
        <w:t>rison</w:t>
      </w:r>
      <w:r w:rsidR="008D60C7">
        <w:t xml:space="preserve"> release</w:t>
      </w:r>
      <w:r w:rsidR="009364D2" w:rsidRPr="009364D2">
        <w:t xml:space="preserve">. One year after </w:t>
      </w:r>
      <w:r w:rsidR="008D60C7">
        <w:t>all interviewed women are released</w:t>
      </w:r>
      <w:r w:rsidR="009364D2" w:rsidRPr="009364D2">
        <w:t>, we also gather</w:t>
      </w:r>
      <w:r w:rsidR="00836ADF">
        <w:t>ed</w:t>
      </w:r>
      <w:r w:rsidR="009364D2" w:rsidRPr="009364D2">
        <w:t xml:space="preserve"> administrative data on </w:t>
      </w:r>
      <w:r w:rsidR="008D60C7">
        <w:t>post-release</w:t>
      </w:r>
      <w:r w:rsidR="009364D2" w:rsidRPr="009364D2">
        <w:t xml:space="preserve"> arrests and potential reincarceration. The primary purpose of this phase </w:t>
      </w:r>
      <w:r w:rsidR="00C0174D">
        <w:t>was</w:t>
      </w:r>
      <w:r w:rsidR="009364D2" w:rsidRPr="009364D2">
        <w:t xml:space="preserve"> to understand, from the perspective of the</w:t>
      </w:r>
      <w:r w:rsidR="008D60C7">
        <w:t xml:space="preserve"> released women</w:t>
      </w:r>
      <w:r w:rsidR="009364D2" w:rsidRPr="009364D2">
        <w:t xml:space="preserve">, </w:t>
      </w:r>
      <w:r w:rsidR="008D60C7">
        <w:t>their</w:t>
      </w:r>
      <w:r w:rsidR="009364D2" w:rsidRPr="009364D2">
        <w:t xml:space="preserve"> children and caregivers, the challenges and opportunities face</w:t>
      </w:r>
      <w:r w:rsidR="008D60C7">
        <w:t>d</w:t>
      </w:r>
      <w:r w:rsidR="009364D2" w:rsidRPr="009364D2">
        <w:t xml:space="preserve"> upon leaving prison, particularly related to family reunification and well-being. </w:t>
      </w:r>
    </w:p>
    <w:p w14:paraId="731EED67" w14:textId="04868FD1" w:rsidR="00275890" w:rsidRDefault="00275890" w:rsidP="003A2315">
      <w:pPr>
        <w:ind w:firstLine="720"/>
      </w:pPr>
    </w:p>
    <w:p w14:paraId="39480118" w14:textId="77777777" w:rsidR="00275890" w:rsidRPr="009364D2" w:rsidRDefault="00275890" w:rsidP="003A2315">
      <w:pPr>
        <w:ind w:firstLine="720"/>
      </w:pPr>
    </w:p>
    <w:p w14:paraId="7E805064" w14:textId="50649B33" w:rsidR="008D60C7" w:rsidRDefault="008D60C7">
      <w:pPr>
        <w:pStyle w:val="Heading1"/>
      </w:pPr>
      <w:r>
        <w:lastRenderedPageBreak/>
        <w:t>SUBJECTS</w:t>
      </w:r>
    </w:p>
    <w:p w14:paraId="0F6229B7" w14:textId="2BC02262" w:rsidR="00130296" w:rsidRPr="00130296" w:rsidRDefault="00130296">
      <w:r w:rsidRPr="00311932">
        <w:rPr>
          <w:rFonts w:cs="Times New Roman"/>
          <w:b/>
          <w:szCs w:val="24"/>
        </w:rPr>
        <w:t xml:space="preserve">Phase </w:t>
      </w:r>
      <w:r w:rsidR="00D10EC1" w:rsidRPr="00311932">
        <w:rPr>
          <w:rFonts w:cs="Times New Roman"/>
          <w:b/>
          <w:szCs w:val="24"/>
        </w:rPr>
        <w:t>1</w:t>
      </w:r>
      <w:r w:rsidR="00F71A21" w:rsidRPr="00311932">
        <w:rPr>
          <w:rFonts w:cs="Times New Roman"/>
          <w:b/>
          <w:szCs w:val="24"/>
        </w:rPr>
        <w:t>.</w:t>
      </w:r>
      <w:r w:rsidR="00F71A21">
        <w:rPr>
          <w:rFonts w:cs="Times New Roman"/>
          <w:b/>
          <w:i/>
          <w:szCs w:val="24"/>
        </w:rPr>
        <w:t xml:space="preserve"> </w:t>
      </w:r>
      <w:r w:rsidR="00D10EC1">
        <w:rPr>
          <w:rFonts w:cs="Times New Roman"/>
          <w:szCs w:val="24"/>
        </w:rPr>
        <w:t xml:space="preserve">We collected survey data from </w:t>
      </w:r>
      <w:r w:rsidR="00DD5A12">
        <w:rPr>
          <w:rFonts w:cs="Times New Roman"/>
          <w:szCs w:val="24"/>
        </w:rPr>
        <w:t xml:space="preserve">incarcerated women in three units in two </w:t>
      </w:r>
      <w:r w:rsidR="00A23752">
        <w:rPr>
          <w:rFonts w:cs="Times New Roman"/>
          <w:szCs w:val="24"/>
        </w:rPr>
        <w:t xml:space="preserve">Pennsylvania women’s </w:t>
      </w:r>
      <w:r w:rsidR="00DD5A12">
        <w:rPr>
          <w:rFonts w:cs="Times New Roman"/>
          <w:szCs w:val="24"/>
        </w:rPr>
        <w:t xml:space="preserve">prisons. </w:t>
      </w:r>
      <w:r w:rsidRPr="00130296">
        <w:t>Data from the first women’s unit were collected in the summer of 2017 in a Pennsylvania state minimum-security women’s prison. Data from the second</w:t>
      </w:r>
      <w:r w:rsidR="005C3302">
        <w:t>-</w:t>
      </w:r>
      <w:r w:rsidRPr="00130296">
        <w:t xml:space="preserve"> and third</w:t>
      </w:r>
      <w:r w:rsidR="005C3302">
        <w:t>-</w:t>
      </w:r>
      <w:r w:rsidR="006A04DD">
        <w:t xml:space="preserve"> </w:t>
      </w:r>
      <w:r w:rsidRPr="00130296">
        <w:t>women’s units were collected in a state maximum-security women’s prison approximately one year after the first unit. The first and second units were classified as “good behavior” (i.e., residents were required to be misconduct-free for up to 12 months prior to entry and remain misconduct-free during their residence), whereas the third unit was a general population unit adjacent to the second “good behavior” unit in the maximum-security prison. The first unit h</w:t>
      </w:r>
      <w:r w:rsidR="001C4E3E">
        <w:t xml:space="preserve">eld 131 </w:t>
      </w:r>
      <w:r w:rsidRPr="00130296">
        <w:t xml:space="preserve">prisoners housed in a stand-alone building where residents freely associated with one another at most times throughout the day. Housing in this unit consisted of a single story of six-occupancy rooms arranged along a single corridor with a dayroom and guard desk at the midpoint. The second and third units held a maximum of </w:t>
      </w:r>
      <w:r w:rsidR="00D97B57" w:rsidRPr="00130296">
        <w:t>7</w:t>
      </w:r>
      <w:r w:rsidR="00D97B57">
        <w:t>6</w:t>
      </w:r>
      <w:r w:rsidR="00D97B57" w:rsidRPr="00130296">
        <w:t xml:space="preserve"> </w:t>
      </w:r>
      <w:r w:rsidRPr="00130296">
        <w:t xml:space="preserve">prisoners each in an open bay format, where bunks were arranged in cubicles holding four women in tight quarters, such that the women easily communicated with those around them and elsewhere in the unit. </w:t>
      </w:r>
    </w:p>
    <w:p w14:paraId="43E7100C" w14:textId="26EFE0DB" w:rsidR="00130296" w:rsidRDefault="00DE5D44" w:rsidP="003A2315">
      <w:pPr>
        <w:ind w:firstLine="720"/>
      </w:pPr>
      <w:r>
        <w:t>R</w:t>
      </w:r>
      <w:r w:rsidR="00130296" w:rsidRPr="00130296">
        <w:t xml:space="preserve">esearchers administered Computer-Assisted Personal Interview (CAPI) surveys to respondents in face-to-face interviews over approximately one hour on internet-disabled laptop computers using Qualtrics software. Along with the survey, respondents completed informed consent and capacity to consent processes. Across units, the response rate ranged from 74-82%, </w:t>
      </w:r>
      <w:r w:rsidR="00314C08">
        <w:t xml:space="preserve">with </w:t>
      </w:r>
      <w:r w:rsidR="00130296" w:rsidRPr="00130296">
        <w:t xml:space="preserve">a total sample size of 222 women. </w:t>
      </w:r>
      <w:r w:rsidR="0018335A">
        <w:t>T</w:t>
      </w:r>
      <w:r w:rsidR="00130296" w:rsidRPr="00130296">
        <w:t xml:space="preserve">hree women </w:t>
      </w:r>
      <w:r w:rsidR="0018335A">
        <w:t xml:space="preserve">were excluded from analyses </w:t>
      </w:r>
      <w:r w:rsidR="00130296" w:rsidRPr="00130296">
        <w:t xml:space="preserve">because they failed to meet the capacity to consent threshold. </w:t>
      </w:r>
      <w:r w:rsidR="0056126C">
        <w:t xml:space="preserve">Table 1 </w:t>
      </w:r>
      <w:r w:rsidR="008A4A9F">
        <w:t>lists</w:t>
      </w:r>
      <w:r w:rsidR="0056126C">
        <w:t xml:space="preserve"> sample</w:t>
      </w:r>
      <w:r w:rsidR="000E2EAC">
        <w:t xml:space="preserve"> demographic</w:t>
      </w:r>
      <w:r w:rsidR="009E28E2">
        <w:t xml:space="preserve"> </w:t>
      </w:r>
      <w:r w:rsidR="0056126C">
        <w:t>descriptive statistics.</w:t>
      </w:r>
      <w:r w:rsidR="009E28E2">
        <w:t xml:space="preserve"> </w:t>
      </w:r>
      <w:r w:rsidR="00410927" w:rsidRPr="4190068E">
        <w:rPr>
          <w:rFonts w:eastAsia="Times New Roman" w:cs="Times New Roman"/>
          <w:color w:val="000000" w:themeColor="text1"/>
          <w:szCs w:val="24"/>
        </w:rPr>
        <w:t xml:space="preserve">Participation </w:t>
      </w:r>
      <w:r w:rsidR="00041932">
        <w:rPr>
          <w:rFonts w:eastAsia="Times New Roman" w:cs="Times New Roman"/>
          <w:color w:val="000000" w:themeColor="text1"/>
          <w:szCs w:val="24"/>
        </w:rPr>
        <w:t xml:space="preserve">at all phases of this study </w:t>
      </w:r>
      <w:r w:rsidR="00410927" w:rsidRPr="4190068E">
        <w:rPr>
          <w:rFonts w:eastAsia="Times New Roman" w:cs="Times New Roman"/>
          <w:color w:val="000000" w:themeColor="text1"/>
          <w:szCs w:val="24"/>
        </w:rPr>
        <w:t>was voluntary</w:t>
      </w:r>
      <w:r w:rsidR="00567F71">
        <w:rPr>
          <w:rFonts w:eastAsia="Times New Roman" w:cs="Times New Roman"/>
          <w:color w:val="000000" w:themeColor="text1"/>
          <w:szCs w:val="24"/>
        </w:rPr>
        <w:t>,</w:t>
      </w:r>
      <w:r w:rsidR="00410927" w:rsidRPr="4190068E">
        <w:rPr>
          <w:rFonts w:eastAsia="Times New Roman" w:cs="Times New Roman"/>
          <w:color w:val="000000" w:themeColor="text1"/>
          <w:szCs w:val="24"/>
        </w:rPr>
        <w:t xml:space="preserve"> and </w:t>
      </w:r>
      <w:r w:rsidR="00567F71">
        <w:rPr>
          <w:rFonts w:eastAsia="Times New Roman" w:cs="Times New Roman"/>
          <w:color w:val="000000" w:themeColor="text1"/>
          <w:szCs w:val="24"/>
        </w:rPr>
        <w:t>no records were</w:t>
      </w:r>
      <w:r w:rsidR="00410927" w:rsidRPr="4190068E">
        <w:rPr>
          <w:rFonts w:eastAsia="Times New Roman" w:cs="Times New Roman"/>
          <w:color w:val="000000" w:themeColor="text1"/>
          <w:szCs w:val="24"/>
        </w:rPr>
        <w:t xml:space="preserve"> shared with </w:t>
      </w:r>
      <w:r w:rsidR="00410927" w:rsidRPr="4190068E">
        <w:rPr>
          <w:rFonts w:eastAsia="Times New Roman" w:cs="Times New Roman"/>
          <w:color w:val="000000" w:themeColor="text1"/>
          <w:szCs w:val="24"/>
        </w:rPr>
        <w:lastRenderedPageBreak/>
        <w:t xml:space="preserve">prison staff. No participation incentives were offered in accordance with Pennsylvania </w:t>
      </w:r>
      <w:r w:rsidR="00A26D4B">
        <w:rPr>
          <w:rFonts w:eastAsia="Times New Roman" w:cs="Times New Roman"/>
          <w:color w:val="000000" w:themeColor="text1"/>
          <w:szCs w:val="24"/>
        </w:rPr>
        <w:t>policy</w:t>
      </w:r>
      <w:r w:rsidR="00410927" w:rsidRPr="4190068E">
        <w:rPr>
          <w:rFonts w:eastAsia="Times New Roman" w:cs="Times New Roman"/>
          <w:color w:val="000000" w:themeColor="text1"/>
          <w:szCs w:val="24"/>
        </w:rPr>
        <w:t xml:space="preserve"> </w:t>
      </w:r>
      <w:r w:rsidR="00410927" w:rsidRPr="4190068E">
        <w:rPr>
          <w:rFonts w:cs="Times New Roman"/>
          <w:szCs w:val="24"/>
        </w:rPr>
        <w:t>(Smoyer et al., 2009)</w:t>
      </w:r>
      <w:r w:rsidR="00410927" w:rsidRPr="4190068E">
        <w:rPr>
          <w:rFonts w:eastAsia="Times New Roman" w:cs="Times New Roman"/>
          <w:color w:val="000000" w:themeColor="text1"/>
          <w:szCs w:val="24"/>
        </w:rPr>
        <w:t>.</w:t>
      </w:r>
    </w:p>
    <w:p w14:paraId="12F38266" w14:textId="0209F848" w:rsidR="002D657E" w:rsidRPr="002D657E" w:rsidRDefault="002612CF">
      <w:r w:rsidRPr="00311932">
        <w:rPr>
          <w:b/>
        </w:rPr>
        <w:t>Phase</w:t>
      </w:r>
      <w:r w:rsidR="007F37D2">
        <w:rPr>
          <w:b/>
        </w:rPr>
        <w:t>s</w:t>
      </w:r>
      <w:r w:rsidRPr="00311932">
        <w:rPr>
          <w:b/>
        </w:rPr>
        <w:t xml:space="preserve"> 2</w:t>
      </w:r>
      <w:r w:rsidR="007F37D2">
        <w:rPr>
          <w:b/>
        </w:rPr>
        <w:t xml:space="preserve"> and 3</w:t>
      </w:r>
      <w:r w:rsidRPr="00311932">
        <w:rPr>
          <w:b/>
        </w:rPr>
        <w:t>.</w:t>
      </w:r>
      <w:r w:rsidR="00DC0DA8">
        <w:rPr>
          <w:b/>
        </w:rPr>
        <w:t xml:space="preserve"> </w:t>
      </w:r>
      <w:r w:rsidR="002D657E">
        <w:t>Participant</w:t>
      </w:r>
      <w:r w:rsidR="00595A45">
        <w:t>s</w:t>
      </w:r>
      <w:r w:rsidR="002D657E">
        <w:t xml:space="preserve"> eligible for parole within one year of </w:t>
      </w:r>
      <w:r w:rsidR="00233270">
        <w:t xml:space="preserve">completing </w:t>
      </w:r>
      <w:r w:rsidR="00DC0DA8">
        <w:t>the P</w:t>
      </w:r>
      <w:r w:rsidR="002D657E">
        <w:t xml:space="preserve">hase 1 </w:t>
      </w:r>
      <w:r w:rsidR="00DC0DA8">
        <w:t xml:space="preserve">survey </w:t>
      </w:r>
      <w:r w:rsidR="00094D4F">
        <w:t xml:space="preserve">were recruited </w:t>
      </w:r>
      <w:r w:rsidR="002D657E">
        <w:t xml:space="preserve">into the reentry portion of the study. </w:t>
      </w:r>
      <w:r w:rsidR="00094D4F">
        <w:t xml:space="preserve">Phase 2 consisted of </w:t>
      </w:r>
      <w:r w:rsidR="008C44D4">
        <w:t xml:space="preserve">22 </w:t>
      </w:r>
      <w:r w:rsidR="00094D4F">
        <w:t>respondents from the first prison and 63 respondents from the second prison completing pre-release prison interviews</w:t>
      </w:r>
      <w:r w:rsidR="002D657E">
        <w:t xml:space="preserve">. </w:t>
      </w:r>
      <w:r w:rsidR="00094D4F">
        <w:t>Phase 3</w:t>
      </w:r>
      <w:r w:rsidR="00E9127D">
        <w:t xml:space="preserve"> </w:t>
      </w:r>
      <w:r w:rsidR="002A1337">
        <w:t>consisted of 56 total community interviews of 1</w:t>
      </w:r>
      <w:r w:rsidR="00E9127D">
        <w:t>4</w:t>
      </w:r>
      <w:r w:rsidR="00FC3897">
        <w:t xml:space="preserve"> </w:t>
      </w:r>
      <w:r w:rsidR="002D657E">
        <w:t>formerly incarcerated women</w:t>
      </w:r>
      <w:r w:rsidR="00E9127D">
        <w:t>, 14 caregivers, and 18</w:t>
      </w:r>
      <w:r w:rsidR="00233270">
        <w:t xml:space="preserve"> children </w:t>
      </w:r>
      <w:r w:rsidR="00985097">
        <w:t xml:space="preserve">before </w:t>
      </w:r>
      <w:r w:rsidR="00E9127D">
        <w:t>interviewing was</w:t>
      </w:r>
      <w:r w:rsidR="00985097">
        <w:t xml:space="preserve"> halted </w:t>
      </w:r>
      <w:r w:rsidR="00094D4F">
        <w:t>due to</w:t>
      </w:r>
      <w:r w:rsidR="00985097">
        <w:t xml:space="preserve"> the </w:t>
      </w:r>
      <w:r w:rsidR="00094D4F">
        <w:t>COVID</w:t>
      </w:r>
      <w:r w:rsidR="00985097">
        <w:t>-19 pandemic.</w:t>
      </w:r>
    </w:p>
    <w:p w14:paraId="15C3DDA4" w14:textId="77777777" w:rsidR="00094D4F" w:rsidRDefault="00094D4F">
      <w:pPr>
        <w:pStyle w:val="Heading1"/>
      </w:pPr>
      <w:r>
        <w:t>DESIGN AND METHODS</w:t>
      </w:r>
    </w:p>
    <w:p w14:paraId="0808CB3F" w14:textId="28F181CB" w:rsidR="006B3E58" w:rsidRDefault="00094D4F" w:rsidP="003A2315">
      <w:r>
        <w:rPr>
          <w:b/>
        </w:rPr>
        <w:t xml:space="preserve">Phase 1. </w:t>
      </w:r>
      <w:r>
        <w:t xml:space="preserve">Central to this project was understanding the social system within prison through the collection of social network data of unit status, friendship, and trust ties in the three women’s prison units. </w:t>
      </w:r>
      <w:r w:rsidR="00A26D4B">
        <w:t xml:space="preserve">The </w:t>
      </w:r>
      <w:r w:rsidR="00F0711C">
        <w:t xml:space="preserve">networks </w:t>
      </w:r>
      <w:r w:rsidR="00A26D4B">
        <w:t>measures replicate those administered in the earlier PINS project</w:t>
      </w:r>
      <w:r w:rsidR="0077107E">
        <w:t xml:space="preserve"> </w:t>
      </w:r>
      <w:r w:rsidR="00331A52">
        <w:t>focused on</w:t>
      </w:r>
      <w:r w:rsidR="0077107E">
        <w:t xml:space="preserve"> </w:t>
      </w:r>
      <w:r w:rsidR="00A26D4B">
        <w:t xml:space="preserve">a men’s prison unit. </w:t>
      </w:r>
      <w:r w:rsidRPr="0C4C099B">
        <w:t xml:space="preserve">To measure unit status, </w:t>
      </w:r>
      <w:r>
        <w:t xml:space="preserve">respondents </w:t>
      </w:r>
      <w:r w:rsidRPr="0C4C099B">
        <w:t>were asked</w:t>
      </w:r>
      <w:r>
        <w:t>:</w:t>
      </w:r>
      <w:r w:rsidRPr="0C4C099B">
        <w:t xml:space="preserve"> “Who are the unit residents you </w:t>
      </w:r>
      <w:r w:rsidR="00233270" w:rsidRPr="0C4C099B">
        <w:t>feel are the most powerful and influential?” Each respondent nominated as many pe</w:t>
      </w:r>
      <w:r w:rsidR="00233270">
        <w:t>ers</w:t>
      </w:r>
      <w:r w:rsidR="00233270" w:rsidRPr="0C4C099B">
        <w:t xml:space="preserve"> as they </w:t>
      </w:r>
      <w:r w:rsidR="00E5140C" w:rsidRPr="0C4C099B">
        <w:t>wished from up-to-date unit rosters. On a subsequent survey screen, respondents ranked the</w:t>
      </w:r>
      <w:r w:rsidR="00E5140C">
        <w:t>ir</w:t>
      </w:r>
      <w:r w:rsidR="002A1337">
        <w:t xml:space="preserve"> </w:t>
      </w:r>
      <w:r w:rsidR="002A1337" w:rsidRPr="002A1337">
        <w:t>nominations. For the top three nominations, respondents were also asked the open-ended</w:t>
      </w:r>
      <w:r w:rsidR="006B3E58" w:rsidRPr="006B3E58">
        <w:t xml:space="preserve"> question, “Why is she powerful and influential?” Narrative responses to this question were qualitatively coded to identify the sources for status on the units. Top three nominations were</w:t>
      </w:r>
      <w:r w:rsidR="006B3E58">
        <w:t xml:space="preserve"> </w:t>
      </w:r>
      <w:r w:rsidR="006B3E58" w:rsidRPr="006B3E58">
        <w:t>also used to create matrices of directed ties suitable for network analysis. Standard deviations for incoming status ties were substantially larger than their means, indicating skewed distributions where most unit residents received few or no nominations, but a handful received a relatively large amount. This pattern offered evidence of a status hierarchy, with residents generally agreeing on their most powerful and influential peers. To measure unit friendships, respondents</w:t>
      </w:r>
      <w:r w:rsidR="006B3E58">
        <w:t xml:space="preserve"> </w:t>
      </w:r>
      <w:r w:rsidR="006B3E58" w:rsidRPr="006B3E58">
        <w:t xml:space="preserve">were asked, “Who do you get along with most?” on the unit. We used </w:t>
      </w:r>
      <w:r w:rsidR="006B3E58" w:rsidRPr="006B3E58">
        <w:lastRenderedPageBreak/>
        <w:t xml:space="preserve">the top-10 list to create “get along with” matrices for network analysis. To measure peer trust, survey respondents were asked, “Who are the [unit] residents that you trust to support you during an argument or dispute with another inmate?” As expected, the number of trust nominations was similar to, but less than, the number of “get along with most” ties. For example, on unit 1, the average residents nominated on average 4.08 peers as those they trusted but 4.96 </w:t>
      </w:r>
      <w:r w:rsidR="00DF7197">
        <w:t>peers that</w:t>
      </w:r>
      <w:r w:rsidR="006B3E58" w:rsidRPr="006B3E58">
        <w:t xml:space="preserve"> they got along with most on the unit. This finding suggests that trust is present in the women’s units but that there are peers who incarcerated women get along with but simultaneously do not trust.</w:t>
      </w:r>
    </w:p>
    <w:tbl>
      <w:tblPr>
        <w:tblpPr w:leftFromText="180" w:rightFromText="180" w:vertAnchor="text" w:horzAnchor="margin" w:tblpY="-44"/>
        <w:tblW w:w="10059" w:type="dxa"/>
        <w:tblLayout w:type="fixed"/>
        <w:tblLook w:val="04A0" w:firstRow="1" w:lastRow="0" w:firstColumn="1" w:lastColumn="0" w:noHBand="0" w:noVBand="1"/>
      </w:tblPr>
      <w:tblGrid>
        <w:gridCol w:w="1530"/>
        <w:gridCol w:w="900"/>
        <w:gridCol w:w="540"/>
        <w:gridCol w:w="270"/>
        <w:gridCol w:w="900"/>
        <w:gridCol w:w="630"/>
        <w:gridCol w:w="270"/>
        <w:gridCol w:w="900"/>
        <w:gridCol w:w="630"/>
        <w:gridCol w:w="270"/>
        <w:gridCol w:w="900"/>
        <w:gridCol w:w="630"/>
        <w:gridCol w:w="259"/>
        <w:gridCol w:w="860"/>
        <w:gridCol w:w="570"/>
      </w:tblGrid>
      <w:tr w:rsidR="006B3E58" w:rsidRPr="000A7C06" w14:paraId="3F6C6A5C" w14:textId="77777777" w:rsidTr="007A4FDC">
        <w:trPr>
          <w:trHeight w:val="315"/>
        </w:trPr>
        <w:tc>
          <w:tcPr>
            <w:tcW w:w="10059" w:type="dxa"/>
            <w:gridSpan w:val="15"/>
            <w:tcBorders>
              <w:top w:val="nil"/>
              <w:left w:val="nil"/>
              <w:bottom w:val="single" w:sz="4" w:space="0" w:color="auto"/>
              <w:right w:val="nil"/>
            </w:tcBorders>
            <w:shd w:val="clear" w:color="000000" w:fill="FFFFFF"/>
            <w:noWrap/>
            <w:hideMark/>
          </w:tcPr>
          <w:p w14:paraId="60DAA803" w14:textId="5921975F" w:rsidR="006B3E58" w:rsidRPr="003A2315" w:rsidRDefault="006B3E58" w:rsidP="006B3E58">
            <w:pPr>
              <w:spacing w:line="240" w:lineRule="auto"/>
              <w:rPr>
                <w:rFonts w:eastAsia="Times New Roman" w:cs="Times New Roman"/>
                <w:b/>
                <w:bCs/>
                <w:color w:val="000000"/>
                <w:szCs w:val="24"/>
              </w:rPr>
            </w:pPr>
            <w:r w:rsidRPr="003A2315">
              <w:rPr>
                <w:rFonts w:eastAsia="Times New Roman" w:cs="Times New Roman"/>
                <w:b/>
                <w:bCs/>
                <w:color w:val="000000"/>
                <w:szCs w:val="24"/>
              </w:rPr>
              <w:t>T</w:t>
            </w:r>
            <w:r w:rsidR="00303F56">
              <w:rPr>
                <w:rFonts w:eastAsia="Times New Roman" w:cs="Times New Roman"/>
                <w:b/>
                <w:bCs/>
                <w:color w:val="000000"/>
                <w:szCs w:val="24"/>
              </w:rPr>
              <w:t>able</w:t>
            </w:r>
            <w:r w:rsidRPr="003A2315">
              <w:rPr>
                <w:rFonts w:eastAsia="Times New Roman" w:cs="Times New Roman"/>
                <w:b/>
                <w:bCs/>
                <w:color w:val="000000"/>
                <w:szCs w:val="24"/>
              </w:rPr>
              <w:t xml:space="preserve"> 1. </w:t>
            </w:r>
            <w:r>
              <w:rPr>
                <w:rFonts w:eastAsia="Times New Roman" w:cs="Times New Roman"/>
                <w:b/>
                <w:bCs/>
                <w:color w:val="000000"/>
                <w:szCs w:val="24"/>
              </w:rPr>
              <w:t xml:space="preserve">WO-PINS Demographic </w:t>
            </w:r>
            <w:r w:rsidRPr="003A2315">
              <w:rPr>
                <w:rFonts w:eastAsia="Times New Roman" w:cs="Times New Roman"/>
                <w:b/>
                <w:bCs/>
                <w:color w:val="000000"/>
                <w:szCs w:val="24"/>
              </w:rPr>
              <w:t xml:space="preserve">Descriptive Statistics </w:t>
            </w:r>
          </w:p>
        </w:tc>
      </w:tr>
      <w:tr w:rsidR="006C255B" w:rsidRPr="000A7C06" w14:paraId="7E6CA660" w14:textId="77777777" w:rsidTr="007A4FDC">
        <w:trPr>
          <w:trHeight w:val="315"/>
        </w:trPr>
        <w:tc>
          <w:tcPr>
            <w:tcW w:w="1530" w:type="dxa"/>
            <w:tcBorders>
              <w:top w:val="nil"/>
              <w:left w:val="nil"/>
              <w:bottom w:val="nil"/>
              <w:right w:val="nil"/>
            </w:tcBorders>
            <w:shd w:val="clear" w:color="000000" w:fill="FFFFFF"/>
            <w:noWrap/>
            <w:vAlign w:val="center"/>
            <w:hideMark/>
          </w:tcPr>
          <w:p w14:paraId="3D391B25"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1440" w:type="dxa"/>
            <w:gridSpan w:val="2"/>
            <w:tcBorders>
              <w:top w:val="nil"/>
              <w:left w:val="nil"/>
              <w:bottom w:val="nil"/>
              <w:right w:val="nil"/>
            </w:tcBorders>
            <w:shd w:val="clear" w:color="000000" w:fill="FFFFFF"/>
            <w:vAlign w:val="center"/>
            <w:hideMark/>
          </w:tcPr>
          <w:p w14:paraId="52D33E7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Unit 1</w:t>
            </w:r>
            <w:r w:rsidRPr="000A7C06">
              <w:rPr>
                <w:rFonts w:eastAsia="Times New Roman" w:cs="Times New Roman"/>
                <w:color w:val="000000"/>
                <w:sz w:val="20"/>
                <w:szCs w:val="20"/>
                <w:vertAlign w:val="superscript"/>
              </w:rPr>
              <w:t>a</w:t>
            </w:r>
          </w:p>
        </w:tc>
        <w:tc>
          <w:tcPr>
            <w:tcW w:w="270" w:type="dxa"/>
            <w:tcBorders>
              <w:top w:val="nil"/>
              <w:left w:val="nil"/>
              <w:bottom w:val="nil"/>
              <w:right w:val="nil"/>
            </w:tcBorders>
            <w:shd w:val="clear" w:color="000000" w:fill="FFFFFF"/>
            <w:noWrap/>
            <w:vAlign w:val="center"/>
            <w:hideMark/>
          </w:tcPr>
          <w:p w14:paraId="0D106E3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1530" w:type="dxa"/>
            <w:gridSpan w:val="2"/>
            <w:tcBorders>
              <w:top w:val="nil"/>
              <w:left w:val="nil"/>
              <w:bottom w:val="nil"/>
              <w:right w:val="nil"/>
            </w:tcBorders>
            <w:shd w:val="clear" w:color="000000" w:fill="FFFFFF"/>
            <w:vAlign w:val="center"/>
            <w:hideMark/>
          </w:tcPr>
          <w:p w14:paraId="4A62028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Unit 2</w:t>
            </w:r>
            <w:r w:rsidRPr="000A7C06">
              <w:rPr>
                <w:rFonts w:eastAsia="Times New Roman" w:cs="Times New Roman"/>
                <w:color w:val="000000"/>
                <w:sz w:val="20"/>
                <w:szCs w:val="20"/>
                <w:vertAlign w:val="superscript"/>
              </w:rPr>
              <w:t>b</w:t>
            </w:r>
          </w:p>
        </w:tc>
        <w:tc>
          <w:tcPr>
            <w:tcW w:w="270" w:type="dxa"/>
            <w:tcBorders>
              <w:top w:val="nil"/>
              <w:left w:val="nil"/>
              <w:bottom w:val="nil"/>
              <w:right w:val="nil"/>
            </w:tcBorders>
            <w:shd w:val="clear" w:color="000000" w:fill="FFFFFF"/>
            <w:noWrap/>
            <w:vAlign w:val="center"/>
            <w:hideMark/>
          </w:tcPr>
          <w:p w14:paraId="2D081C9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1530" w:type="dxa"/>
            <w:gridSpan w:val="2"/>
            <w:tcBorders>
              <w:top w:val="nil"/>
              <w:left w:val="nil"/>
              <w:bottom w:val="nil"/>
              <w:right w:val="nil"/>
            </w:tcBorders>
            <w:shd w:val="clear" w:color="000000" w:fill="FFFFFF"/>
            <w:vAlign w:val="center"/>
            <w:hideMark/>
          </w:tcPr>
          <w:p w14:paraId="2B3D5FA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Unit 3</w:t>
            </w:r>
            <w:r w:rsidRPr="000A7C06">
              <w:rPr>
                <w:rFonts w:eastAsia="Times New Roman" w:cs="Times New Roman"/>
                <w:color w:val="000000"/>
                <w:sz w:val="20"/>
                <w:szCs w:val="20"/>
                <w:vertAlign w:val="superscript"/>
              </w:rPr>
              <w:t>c</w:t>
            </w:r>
          </w:p>
        </w:tc>
        <w:tc>
          <w:tcPr>
            <w:tcW w:w="270" w:type="dxa"/>
            <w:tcBorders>
              <w:top w:val="nil"/>
              <w:left w:val="nil"/>
              <w:bottom w:val="nil"/>
              <w:right w:val="nil"/>
            </w:tcBorders>
            <w:shd w:val="clear" w:color="000000" w:fill="FFFFFF"/>
            <w:vAlign w:val="center"/>
            <w:hideMark/>
          </w:tcPr>
          <w:p w14:paraId="6C8BC6E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1530" w:type="dxa"/>
            <w:gridSpan w:val="2"/>
            <w:tcBorders>
              <w:top w:val="nil"/>
              <w:left w:val="nil"/>
              <w:bottom w:val="nil"/>
              <w:right w:val="nil"/>
            </w:tcBorders>
            <w:shd w:val="clear" w:color="000000" w:fill="FFFFFF"/>
            <w:vAlign w:val="center"/>
            <w:hideMark/>
          </w:tcPr>
          <w:p w14:paraId="495BB84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Pre-Release</w:t>
            </w:r>
          </w:p>
        </w:tc>
        <w:tc>
          <w:tcPr>
            <w:tcW w:w="259" w:type="dxa"/>
            <w:tcBorders>
              <w:top w:val="nil"/>
              <w:left w:val="nil"/>
              <w:bottom w:val="nil"/>
              <w:right w:val="nil"/>
            </w:tcBorders>
            <w:shd w:val="clear" w:color="000000" w:fill="FFFFFF"/>
            <w:noWrap/>
            <w:vAlign w:val="center"/>
            <w:hideMark/>
          </w:tcPr>
          <w:p w14:paraId="5EB98CED"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1430" w:type="dxa"/>
            <w:gridSpan w:val="2"/>
            <w:tcBorders>
              <w:top w:val="nil"/>
              <w:left w:val="nil"/>
              <w:bottom w:val="nil"/>
              <w:right w:val="nil"/>
            </w:tcBorders>
            <w:shd w:val="clear" w:color="000000" w:fill="FFFFFF"/>
            <w:vAlign w:val="center"/>
            <w:hideMark/>
          </w:tcPr>
          <w:p w14:paraId="0F605A1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Post-Release</w:t>
            </w:r>
          </w:p>
        </w:tc>
      </w:tr>
      <w:tr w:rsidR="006C255B" w:rsidRPr="000A7C06" w14:paraId="5EF54F0F" w14:textId="77777777" w:rsidTr="007A4FDC">
        <w:trPr>
          <w:trHeight w:val="315"/>
        </w:trPr>
        <w:tc>
          <w:tcPr>
            <w:tcW w:w="1530" w:type="dxa"/>
            <w:tcBorders>
              <w:top w:val="nil"/>
              <w:left w:val="nil"/>
              <w:bottom w:val="nil"/>
              <w:right w:val="nil"/>
            </w:tcBorders>
            <w:shd w:val="clear" w:color="000000" w:fill="FFFFFF"/>
            <w:noWrap/>
            <w:vAlign w:val="center"/>
            <w:hideMark/>
          </w:tcPr>
          <w:p w14:paraId="2937AD68"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1440" w:type="dxa"/>
            <w:gridSpan w:val="2"/>
            <w:tcBorders>
              <w:top w:val="nil"/>
              <w:left w:val="nil"/>
              <w:bottom w:val="nil"/>
              <w:right w:val="nil"/>
            </w:tcBorders>
            <w:shd w:val="clear" w:color="000000" w:fill="FFFFFF"/>
            <w:noWrap/>
            <w:vAlign w:val="center"/>
            <w:hideMark/>
          </w:tcPr>
          <w:p w14:paraId="5804446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(N = 131)</w:t>
            </w:r>
          </w:p>
        </w:tc>
        <w:tc>
          <w:tcPr>
            <w:tcW w:w="270" w:type="dxa"/>
            <w:tcBorders>
              <w:top w:val="nil"/>
              <w:left w:val="nil"/>
              <w:bottom w:val="nil"/>
              <w:right w:val="nil"/>
            </w:tcBorders>
            <w:shd w:val="clear" w:color="000000" w:fill="FFFFFF"/>
            <w:noWrap/>
            <w:vAlign w:val="center"/>
            <w:hideMark/>
          </w:tcPr>
          <w:p w14:paraId="36C1D4AD"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1530" w:type="dxa"/>
            <w:gridSpan w:val="2"/>
            <w:tcBorders>
              <w:top w:val="nil"/>
              <w:left w:val="nil"/>
              <w:bottom w:val="nil"/>
              <w:right w:val="nil"/>
            </w:tcBorders>
            <w:shd w:val="clear" w:color="000000" w:fill="FFFFFF"/>
            <w:noWrap/>
            <w:vAlign w:val="center"/>
            <w:hideMark/>
          </w:tcPr>
          <w:p w14:paraId="4508CAD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(N = 76)</w:t>
            </w:r>
          </w:p>
        </w:tc>
        <w:tc>
          <w:tcPr>
            <w:tcW w:w="270" w:type="dxa"/>
            <w:tcBorders>
              <w:top w:val="nil"/>
              <w:left w:val="nil"/>
              <w:bottom w:val="nil"/>
              <w:right w:val="nil"/>
            </w:tcBorders>
            <w:shd w:val="clear" w:color="000000" w:fill="FFFFFF"/>
            <w:noWrap/>
            <w:vAlign w:val="center"/>
            <w:hideMark/>
          </w:tcPr>
          <w:p w14:paraId="7D5A5359"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1530" w:type="dxa"/>
            <w:gridSpan w:val="2"/>
            <w:tcBorders>
              <w:top w:val="nil"/>
              <w:left w:val="nil"/>
              <w:bottom w:val="nil"/>
              <w:right w:val="nil"/>
            </w:tcBorders>
            <w:shd w:val="clear" w:color="000000" w:fill="FFFFFF"/>
            <w:noWrap/>
            <w:vAlign w:val="center"/>
            <w:hideMark/>
          </w:tcPr>
          <w:p w14:paraId="0D3C74D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(N = 76)</w:t>
            </w:r>
          </w:p>
        </w:tc>
        <w:tc>
          <w:tcPr>
            <w:tcW w:w="270" w:type="dxa"/>
            <w:tcBorders>
              <w:top w:val="nil"/>
              <w:left w:val="nil"/>
              <w:bottom w:val="nil"/>
              <w:right w:val="nil"/>
            </w:tcBorders>
            <w:shd w:val="clear" w:color="000000" w:fill="FFFFFF"/>
            <w:noWrap/>
            <w:vAlign w:val="center"/>
            <w:hideMark/>
          </w:tcPr>
          <w:p w14:paraId="635B518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1530" w:type="dxa"/>
            <w:gridSpan w:val="2"/>
            <w:tcBorders>
              <w:top w:val="nil"/>
              <w:left w:val="nil"/>
              <w:bottom w:val="nil"/>
              <w:right w:val="nil"/>
            </w:tcBorders>
            <w:shd w:val="clear" w:color="000000" w:fill="FFFFFF"/>
            <w:noWrap/>
            <w:vAlign w:val="center"/>
            <w:hideMark/>
          </w:tcPr>
          <w:p w14:paraId="415326F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(N = 86)</w:t>
            </w:r>
          </w:p>
        </w:tc>
        <w:tc>
          <w:tcPr>
            <w:tcW w:w="259" w:type="dxa"/>
            <w:tcBorders>
              <w:top w:val="nil"/>
              <w:left w:val="nil"/>
              <w:bottom w:val="nil"/>
              <w:right w:val="nil"/>
            </w:tcBorders>
            <w:shd w:val="clear" w:color="000000" w:fill="FFFFFF"/>
            <w:noWrap/>
            <w:vAlign w:val="center"/>
            <w:hideMark/>
          </w:tcPr>
          <w:p w14:paraId="2E0BC9A6"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1430" w:type="dxa"/>
            <w:gridSpan w:val="2"/>
            <w:tcBorders>
              <w:top w:val="nil"/>
              <w:left w:val="nil"/>
              <w:bottom w:val="nil"/>
              <w:right w:val="nil"/>
            </w:tcBorders>
            <w:shd w:val="clear" w:color="000000" w:fill="FFFFFF"/>
            <w:noWrap/>
            <w:vAlign w:val="center"/>
            <w:hideMark/>
          </w:tcPr>
          <w:p w14:paraId="1543A3F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(N = 14)</w:t>
            </w:r>
          </w:p>
        </w:tc>
      </w:tr>
      <w:tr w:rsidR="006C255B" w:rsidRPr="000A7C06" w14:paraId="375175CF" w14:textId="77777777" w:rsidTr="007A4FDC">
        <w:trPr>
          <w:trHeight w:val="330"/>
        </w:trPr>
        <w:tc>
          <w:tcPr>
            <w:tcW w:w="1530" w:type="dxa"/>
            <w:tcBorders>
              <w:top w:val="nil"/>
              <w:left w:val="nil"/>
              <w:bottom w:val="single" w:sz="8" w:space="0" w:color="auto"/>
              <w:right w:val="nil"/>
            </w:tcBorders>
            <w:shd w:val="clear" w:color="000000" w:fill="FFFFFF"/>
            <w:noWrap/>
            <w:vAlign w:val="center"/>
            <w:hideMark/>
          </w:tcPr>
          <w:p w14:paraId="03E6CB9E"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Variables</w:t>
            </w:r>
          </w:p>
        </w:tc>
        <w:tc>
          <w:tcPr>
            <w:tcW w:w="900" w:type="dxa"/>
            <w:tcBorders>
              <w:top w:val="nil"/>
              <w:left w:val="nil"/>
              <w:bottom w:val="single" w:sz="8" w:space="0" w:color="auto"/>
              <w:right w:val="nil"/>
            </w:tcBorders>
            <w:shd w:val="clear" w:color="000000" w:fill="FFFFFF"/>
            <w:noWrap/>
            <w:vAlign w:val="center"/>
            <w:hideMark/>
          </w:tcPr>
          <w:p w14:paraId="481E25B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xml:space="preserve">Mean </w:t>
            </w:r>
            <w:r>
              <w:rPr>
                <w:rFonts w:eastAsia="Times New Roman" w:cs="Times New Roman"/>
                <w:color w:val="000000"/>
                <w:sz w:val="20"/>
                <w:szCs w:val="20"/>
              </w:rPr>
              <w:t>(</w:t>
            </w:r>
            <w:r w:rsidRPr="000A7C06">
              <w:rPr>
                <w:rFonts w:eastAsia="Times New Roman" w:cs="Times New Roman"/>
                <w:color w:val="000000"/>
                <w:sz w:val="20"/>
                <w:szCs w:val="20"/>
              </w:rPr>
              <w:t>%</w:t>
            </w:r>
            <w:r>
              <w:rPr>
                <w:rFonts w:eastAsia="Times New Roman" w:cs="Times New Roman"/>
                <w:color w:val="000000"/>
                <w:sz w:val="20"/>
                <w:szCs w:val="20"/>
              </w:rPr>
              <w:t>)</w:t>
            </w:r>
          </w:p>
        </w:tc>
        <w:tc>
          <w:tcPr>
            <w:tcW w:w="540" w:type="dxa"/>
            <w:tcBorders>
              <w:top w:val="nil"/>
              <w:left w:val="nil"/>
              <w:bottom w:val="single" w:sz="8" w:space="0" w:color="auto"/>
              <w:right w:val="nil"/>
            </w:tcBorders>
            <w:shd w:val="clear" w:color="000000" w:fill="FFFFFF"/>
            <w:noWrap/>
            <w:vAlign w:val="center"/>
            <w:hideMark/>
          </w:tcPr>
          <w:p w14:paraId="4799DBF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SD</w:t>
            </w:r>
          </w:p>
        </w:tc>
        <w:tc>
          <w:tcPr>
            <w:tcW w:w="270" w:type="dxa"/>
            <w:tcBorders>
              <w:top w:val="nil"/>
              <w:left w:val="nil"/>
              <w:bottom w:val="single" w:sz="8" w:space="0" w:color="auto"/>
              <w:right w:val="nil"/>
            </w:tcBorders>
            <w:shd w:val="clear" w:color="000000" w:fill="FFFFFF"/>
            <w:noWrap/>
            <w:vAlign w:val="center"/>
            <w:hideMark/>
          </w:tcPr>
          <w:p w14:paraId="7498373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single" w:sz="8" w:space="0" w:color="auto"/>
              <w:right w:val="nil"/>
            </w:tcBorders>
            <w:shd w:val="clear" w:color="000000" w:fill="FFFFFF"/>
            <w:noWrap/>
            <w:vAlign w:val="center"/>
            <w:hideMark/>
          </w:tcPr>
          <w:p w14:paraId="0E8B4AC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xml:space="preserve">Mean </w:t>
            </w:r>
            <w:r>
              <w:rPr>
                <w:rFonts w:eastAsia="Times New Roman" w:cs="Times New Roman"/>
                <w:color w:val="000000"/>
                <w:sz w:val="20"/>
                <w:szCs w:val="20"/>
              </w:rPr>
              <w:t>(</w:t>
            </w:r>
            <w:r w:rsidRPr="000A7C06">
              <w:rPr>
                <w:rFonts w:eastAsia="Times New Roman" w:cs="Times New Roman"/>
                <w:color w:val="000000"/>
                <w:sz w:val="20"/>
                <w:szCs w:val="20"/>
              </w:rPr>
              <w:t>%</w:t>
            </w:r>
            <w:r>
              <w:rPr>
                <w:rFonts w:eastAsia="Times New Roman" w:cs="Times New Roman"/>
                <w:color w:val="000000"/>
                <w:sz w:val="20"/>
                <w:szCs w:val="20"/>
              </w:rPr>
              <w:t>)</w:t>
            </w:r>
          </w:p>
        </w:tc>
        <w:tc>
          <w:tcPr>
            <w:tcW w:w="630" w:type="dxa"/>
            <w:tcBorders>
              <w:top w:val="nil"/>
              <w:left w:val="nil"/>
              <w:bottom w:val="single" w:sz="8" w:space="0" w:color="auto"/>
              <w:right w:val="nil"/>
            </w:tcBorders>
            <w:shd w:val="clear" w:color="000000" w:fill="FFFFFF"/>
            <w:noWrap/>
            <w:vAlign w:val="center"/>
            <w:hideMark/>
          </w:tcPr>
          <w:p w14:paraId="10C1138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SD</w:t>
            </w:r>
          </w:p>
        </w:tc>
        <w:tc>
          <w:tcPr>
            <w:tcW w:w="270" w:type="dxa"/>
            <w:tcBorders>
              <w:top w:val="nil"/>
              <w:left w:val="nil"/>
              <w:bottom w:val="single" w:sz="8" w:space="0" w:color="auto"/>
              <w:right w:val="nil"/>
            </w:tcBorders>
            <w:shd w:val="clear" w:color="000000" w:fill="FFFFFF"/>
            <w:noWrap/>
            <w:vAlign w:val="center"/>
            <w:hideMark/>
          </w:tcPr>
          <w:p w14:paraId="5A1619D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single" w:sz="8" w:space="0" w:color="auto"/>
              <w:right w:val="nil"/>
            </w:tcBorders>
            <w:shd w:val="clear" w:color="000000" w:fill="FFFFFF"/>
            <w:noWrap/>
            <w:vAlign w:val="center"/>
            <w:hideMark/>
          </w:tcPr>
          <w:p w14:paraId="1CE984F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xml:space="preserve">Mean </w:t>
            </w:r>
            <w:r>
              <w:rPr>
                <w:rFonts w:eastAsia="Times New Roman" w:cs="Times New Roman"/>
                <w:color w:val="000000"/>
                <w:sz w:val="20"/>
                <w:szCs w:val="20"/>
              </w:rPr>
              <w:t>(</w:t>
            </w:r>
            <w:r w:rsidRPr="000A7C06">
              <w:rPr>
                <w:rFonts w:eastAsia="Times New Roman" w:cs="Times New Roman"/>
                <w:color w:val="000000"/>
                <w:sz w:val="20"/>
                <w:szCs w:val="20"/>
              </w:rPr>
              <w:t>%</w:t>
            </w:r>
            <w:r>
              <w:rPr>
                <w:rFonts w:eastAsia="Times New Roman" w:cs="Times New Roman"/>
                <w:color w:val="000000"/>
                <w:sz w:val="20"/>
                <w:szCs w:val="20"/>
              </w:rPr>
              <w:t>)</w:t>
            </w:r>
          </w:p>
        </w:tc>
        <w:tc>
          <w:tcPr>
            <w:tcW w:w="630" w:type="dxa"/>
            <w:tcBorders>
              <w:top w:val="nil"/>
              <w:left w:val="nil"/>
              <w:bottom w:val="single" w:sz="8" w:space="0" w:color="auto"/>
              <w:right w:val="nil"/>
            </w:tcBorders>
            <w:shd w:val="clear" w:color="000000" w:fill="FFFFFF"/>
            <w:noWrap/>
            <w:vAlign w:val="center"/>
            <w:hideMark/>
          </w:tcPr>
          <w:p w14:paraId="459E3B3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SD</w:t>
            </w:r>
          </w:p>
        </w:tc>
        <w:tc>
          <w:tcPr>
            <w:tcW w:w="270" w:type="dxa"/>
            <w:tcBorders>
              <w:top w:val="nil"/>
              <w:left w:val="nil"/>
              <w:bottom w:val="single" w:sz="8" w:space="0" w:color="auto"/>
              <w:right w:val="nil"/>
            </w:tcBorders>
            <w:shd w:val="clear" w:color="000000" w:fill="FFFFFF"/>
            <w:noWrap/>
            <w:vAlign w:val="center"/>
            <w:hideMark/>
          </w:tcPr>
          <w:p w14:paraId="6251834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single" w:sz="8" w:space="0" w:color="auto"/>
              <w:right w:val="nil"/>
            </w:tcBorders>
            <w:shd w:val="clear" w:color="000000" w:fill="FFFFFF"/>
            <w:noWrap/>
            <w:vAlign w:val="center"/>
            <w:hideMark/>
          </w:tcPr>
          <w:p w14:paraId="6C25B7F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Mean</w:t>
            </w:r>
            <w:r>
              <w:rPr>
                <w:rFonts w:eastAsia="Times New Roman" w:cs="Times New Roman"/>
                <w:color w:val="000000"/>
                <w:sz w:val="20"/>
                <w:szCs w:val="20"/>
              </w:rPr>
              <w:t xml:space="preserve"> (</w:t>
            </w:r>
            <w:r w:rsidRPr="000A7C06">
              <w:rPr>
                <w:rFonts w:eastAsia="Times New Roman" w:cs="Times New Roman"/>
                <w:color w:val="000000"/>
                <w:sz w:val="20"/>
                <w:szCs w:val="20"/>
              </w:rPr>
              <w:t>%</w:t>
            </w:r>
            <w:r>
              <w:rPr>
                <w:rFonts w:eastAsia="Times New Roman" w:cs="Times New Roman"/>
                <w:color w:val="000000"/>
                <w:sz w:val="20"/>
                <w:szCs w:val="20"/>
              </w:rPr>
              <w:t>)</w:t>
            </w:r>
          </w:p>
        </w:tc>
        <w:tc>
          <w:tcPr>
            <w:tcW w:w="630" w:type="dxa"/>
            <w:tcBorders>
              <w:top w:val="nil"/>
              <w:left w:val="nil"/>
              <w:bottom w:val="single" w:sz="8" w:space="0" w:color="auto"/>
              <w:right w:val="nil"/>
            </w:tcBorders>
            <w:shd w:val="clear" w:color="000000" w:fill="FFFFFF"/>
            <w:noWrap/>
            <w:vAlign w:val="center"/>
            <w:hideMark/>
          </w:tcPr>
          <w:p w14:paraId="7E0E9C7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SD</w:t>
            </w:r>
          </w:p>
        </w:tc>
        <w:tc>
          <w:tcPr>
            <w:tcW w:w="259" w:type="dxa"/>
            <w:tcBorders>
              <w:top w:val="nil"/>
              <w:left w:val="nil"/>
              <w:bottom w:val="single" w:sz="8" w:space="0" w:color="auto"/>
              <w:right w:val="nil"/>
            </w:tcBorders>
            <w:shd w:val="clear" w:color="000000" w:fill="FFFFFF"/>
            <w:noWrap/>
            <w:vAlign w:val="center"/>
            <w:hideMark/>
          </w:tcPr>
          <w:p w14:paraId="1196AF66"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single" w:sz="8" w:space="0" w:color="auto"/>
              <w:right w:val="nil"/>
            </w:tcBorders>
            <w:shd w:val="clear" w:color="000000" w:fill="FFFFFF"/>
            <w:noWrap/>
            <w:vAlign w:val="center"/>
            <w:hideMark/>
          </w:tcPr>
          <w:p w14:paraId="5CD387E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Mean</w:t>
            </w:r>
            <w:r>
              <w:rPr>
                <w:rFonts w:eastAsia="Times New Roman" w:cs="Times New Roman"/>
                <w:color w:val="000000"/>
                <w:sz w:val="20"/>
                <w:szCs w:val="20"/>
              </w:rPr>
              <w:t xml:space="preserve"> (</w:t>
            </w:r>
            <w:r w:rsidRPr="000A7C06">
              <w:rPr>
                <w:rFonts w:eastAsia="Times New Roman" w:cs="Times New Roman"/>
                <w:color w:val="000000"/>
                <w:sz w:val="20"/>
                <w:szCs w:val="20"/>
              </w:rPr>
              <w:t>%</w:t>
            </w:r>
            <w:r>
              <w:rPr>
                <w:rFonts w:eastAsia="Times New Roman" w:cs="Times New Roman"/>
                <w:color w:val="000000"/>
                <w:sz w:val="20"/>
                <w:szCs w:val="20"/>
              </w:rPr>
              <w:t>)</w:t>
            </w:r>
          </w:p>
        </w:tc>
        <w:tc>
          <w:tcPr>
            <w:tcW w:w="570" w:type="dxa"/>
            <w:tcBorders>
              <w:top w:val="nil"/>
              <w:left w:val="nil"/>
              <w:bottom w:val="single" w:sz="8" w:space="0" w:color="auto"/>
              <w:right w:val="nil"/>
            </w:tcBorders>
            <w:shd w:val="clear" w:color="000000" w:fill="FFFFFF"/>
            <w:noWrap/>
            <w:vAlign w:val="center"/>
            <w:hideMark/>
          </w:tcPr>
          <w:p w14:paraId="3A10F34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SD</w:t>
            </w:r>
          </w:p>
        </w:tc>
      </w:tr>
      <w:tr w:rsidR="006C255B" w:rsidRPr="000A7C06" w14:paraId="4E80B779" w14:textId="77777777" w:rsidTr="007A4FDC">
        <w:trPr>
          <w:trHeight w:val="510"/>
        </w:trPr>
        <w:tc>
          <w:tcPr>
            <w:tcW w:w="1530" w:type="dxa"/>
            <w:tcBorders>
              <w:top w:val="nil"/>
              <w:left w:val="nil"/>
              <w:bottom w:val="nil"/>
              <w:right w:val="nil"/>
            </w:tcBorders>
            <w:shd w:val="clear" w:color="000000" w:fill="FFFFFF"/>
            <w:vAlign w:val="center"/>
            <w:hideMark/>
          </w:tcPr>
          <w:p w14:paraId="4B215493"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Total survey participation</w:t>
            </w:r>
          </w:p>
        </w:tc>
        <w:tc>
          <w:tcPr>
            <w:tcW w:w="900" w:type="dxa"/>
            <w:tcBorders>
              <w:top w:val="nil"/>
              <w:left w:val="nil"/>
              <w:bottom w:val="nil"/>
              <w:right w:val="nil"/>
            </w:tcBorders>
            <w:shd w:val="clear" w:color="000000" w:fill="FFFFFF"/>
            <w:vAlign w:val="center"/>
            <w:hideMark/>
          </w:tcPr>
          <w:p w14:paraId="58B6651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103</w:t>
            </w:r>
          </w:p>
        </w:tc>
        <w:tc>
          <w:tcPr>
            <w:tcW w:w="540" w:type="dxa"/>
            <w:tcBorders>
              <w:top w:val="nil"/>
              <w:left w:val="nil"/>
              <w:bottom w:val="nil"/>
              <w:right w:val="nil"/>
            </w:tcBorders>
            <w:shd w:val="clear" w:color="000000" w:fill="FFFFFF"/>
            <w:vAlign w:val="center"/>
            <w:hideMark/>
          </w:tcPr>
          <w:p w14:paraId="68510D7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087DFCC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457056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63</w:t>
            </w:r>
          </w:p>
        </w:tc>
        <w:tc>
          <w:tcPr>
            <w:tcW w:w="630" w:type="dxa"/>
            <w:tcBorders>
              <w:top w:val="nil"/>
              <w:left w:val="nil"/>
              <w:bottom w:val="nil"/>
              <w:right w:val="nil"/>
            </w:tcBorders>
            <w:shd w:val="clear" w:color="000000" w:fill="FFFFFF"/>
            <w:vAlign w:val="center"/>
            <w:hideMark/>
          </w:tcPr>
          <w:p w14:paraId="7977399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6DE8B19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12F1CAF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56</w:t>
            </w:r>
          </w:p>
        </w:tc>
        <w:tc>
          <w:tcPr>
            <w:tcW w:w="630" w:type="dxa"/>
            <w:tcBorders>
              <w:top w:val="nil"/>
              <w:left w:val="nil"/>
              <w:bottom w:val="nil"/>
              <w:right w:val="nil"/>
            </w:tcBorders>
            <w:shd w:val="clear" w:color="000000" w:fill="FFFFFF"/>
            <w:vAlign w:val="center"/>
            <w:hideMark/>
          </w:tcPr>
          <w:p w14:paraId="610543B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2203D4B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080364E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86</w:t>
            </w:r>
          </w:p>
        </w:tc>
        <w:tc>
          <w:tcPr>
            <w:tcW w:w="630" w:type="dxa"/>
            <w:tcBorders>
              <w:top w:val="nil"/>
              <w:left w:val="nil"/>
              <w:bottom w:val="nil"/>
              <w:right w:val="nil"/>
            </w:tcBorders>
            <w:shd w:val="clear" w:color="000000" w:fill="FFFFFF"/>
            <w:vAlign w:val="center"/>
            <w:hideMark/>
          </w:tcPr>
          <w:p w14:paraId="0542497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5B08E40B"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7F21725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14</w:t>
            </w:r>
          </w:p>
        </w:tc>
        <w:tc>
          <w:tcPr>
            <w:tcW w:w="570" w:type="dxa"/>
            <w:tcBorders>
              <w:top w:val="nil"/>
              <w:left w:val="nil"/>
              <w:bottom w:val="nil"/>
              <w:right w:val="nil"/>
            </w:tcBorders>
            <w:shd w:val="clear" w:color="000000" w:fill="FFFFFF"/>
            <w:vAlign w:val="center"/>
            <w:hideMark/>
          </w:tcPr>
          <w:p w14:paraId="412BF5C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44B5A433" w14:textId="77777777" w:rsidTr="007A4FDC">
        <w:trPr>
          <w:trHeight w:val="315"/>
        </w:trPr>
        <w:tc>
          <w:tcPr>
            <w:tcW w:w="1530" w:type="dxa"/>
            <w:tcBorders>
              <w:top w:val="nil"/>
              <w:left w:val="nil"/>
              <w:bottom w:val="nil"/>
              <w:right w:val="nil"/>
            </w:tcBorders>
            <w:shd w:val="clear" w:color="000000" w:fill="FFFFFF"/>
            <w:vAlign w:val="center"/>
            <w:hideMark/>
          </w:tcPr>
          <w:p w14:paraId="3B0B712D"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Race/ethnicity</w:t>
            </w:r>
          </w:p>
        </w:tc>
        <w:tc>
          <w:tcPr>
            <w:tcW w:w="900" w:type="dxa"/>
            <w:tcBorders>
              <w:top w:val="nil"/>
              <w:left w:val="nil"/>
              <w:bottom w:val="nil"/>
              <w:right w:val="nil"/>
            </w:tcBorders>
            <w:shd w:val="clear" w:color="000000" w:fill="FFFFFF"/>
            <w:vAlign w:val="center"/>
            <w:hideMark/>
          </w:tcPr>
          <w:p w14:paraId="4101AB7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540" w:type="dxa"/>
            <w:tcBorders>
              <w:top w:val="nil"/>
              <w:left w:val="nil"/>
              <w:bottom w:val="nil"/>
              <w:right w:val="nil"/>
            </w:tcBorders>
            <w:shd w:val="clear" w:color="000000" w:fill="FFFFFF"/>
            <w:vAlign w:val="center"/>
            <w:hideMark/>
          </w:tcPr>
          <w:p w14:paraId="781C693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270" w:type="dxa"/>
            <w:tcBorders>
              <w:top w:val="nil"/>
              <w:left w:val="nil"/>
              <w:bottom w:val="nil"/>
              <w:right w:val="nil"/>
            </w:tcBorders>
            <w:shd w:val="clear" w:color="000000" w:fill="FFFFFF"/>
            <w:noWrap/>
            <w:vAlign w:val="center"/>
            <w:hideMark/>
          </w:tcPr>
          <w:p w14:paraId="74FE6E6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5FDD46A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630" w:type="dxa"/>
            <w:tcBorders>
              <w:top w:val="nil"/>
              <w:left w:val="nil"/>
              <w:bottom w:val="nil"/>
              <w:right w:val="nil"/>
            </w:tcBorders>
            <w:shd w:val="clear" w:color="000000" w:fill="FFFFFF"/>
            <w:vAlign w:val="center"/>
            <w:hideMark/>
          </w:tcPr>
          <w:p w14:paraId="46EC05D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270" w:type="dxa"/>
            <w:tcBorders>
              <w:top w:val="nil"/>
              <w:left w:val="nil"/>
              <w:bottom w:val="nil"/>
              <w:right w:val="nil"/>
            </w:tcBorders>
            <w:shd w:val="clear" w:color="000000" w:fill="FFFFFF"/>
            <w:noWrap/>
            <w:vAlign w:val="center"/>
            <w:hideMark/>
          </w:tcPr>
          <w:p w14:paraId="67A8605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184F10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630" w:type="dxa"/>
            <w:tcBorders>
              <w:top w:val="nil"/>
              <w:left w:val="nil"/>
              <w:bottom w:val="nil"/>
              <w:right w:val="nil"/>
            </w:tcBorders>
            <w:shd w:val="clear" w:color="000000" w:fill="FFFFFF"/>
            <w:vAlign w:val="center"/>
            <w:hideMark/>
          </w:tcPr>
          <w:p w14:paraId="241E6F7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270" w:type="dxa"/>
            <w:tcBorders>
              <w:top w:val="nil"/>
              <w:left w:val="nil"/>
              <w:bottom w:val="nil"/>
              <w:right w:val="nil"/>
            </w:tcBorders>
            <w:shd w:val="clear" w:color="000000" w:fill="FFFFFF"/>
            <w:vAlign w:val="center"/>
            <w:hideMark/>
          </w:tcPr>
          <w:p w14:paraId="3EA6A8E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1AAA981C" w14:textId="77777777" w:rsidR="006B3E58" w:rsidRPr="000A7C06" w:rsidRDefault="006B3E58" w:rsidP="006B3E58">
            <w:pPr>
              <w:spacing w:line="240" w:lineRule="auto"/>
              <w:rPr>
                <w:rFonts w:ascii="Calibri" w:eastAsia="Times New Roman" w:hAnsi="Calibri" w:cs="Calibri"/>
                <w:color w:val="000000"/>
                <w:sz w:val="22"/>
              </w:rPr>
            </w:pPr>
            <w:r w:rsidRPr="000A7C06">
              <w:rPr>
                <w:rFonts w:ascii="Calibri" w:eastAsia="Times New Roman" w:hAnsi="Calibri" w:cs="Calibri"/>
                <w:color w:val="000000"/>
                <w:sz w:val="22"/>
              </w:rPr>
              <w:t> </w:t>
            </w:r>
          </w:p>
        </w:tc>
        <w:tc>
          <w:tcPr>
            <w:tcW w:w="630" w:type="dxa"/>
            <w:tcBorders>
              <w:top w:val="nil"/>
              <w:left w:val="nil"/>
              <w:bottom w:val="nil"/>
              <w:right w:val="nil"/>
            </w:tcBorders>
            <w:shd w:val="clear" w:color="000000" w:fill="FFFFFF"/>
            <w:vAlign w:val="center"/>
            <w:hideMark/>
          </w:tcPr>
          <w:p w14:paraId="1D9A3D1F" w14:textId="77777777" w:rsidR="006B3E58" w:rsidRPr="000A7C06" w:rsidRDefault="006B3E58" w:rsidP="006B3E58">
            <w:pPr>
              <w:spacing w:line="240" w:lineRule="auto"/>
              <w:rPr>
                <w:rFonts w:ascii="Calibri" w:eastAsia="Times New Roman" w:hAnsi="Calibri" w:cs="Calibri"/>
                <w:color w:val="000000"/>
                <w:sz w:val="22"/>
              </w:rPr>
            </w:pPr>
            <w:r w:rsidRPr="000A7C06">
              <w:rPr>
                <w:rFonts w:ascii="Calibri" w:eastAsia="Times New Roman" w:hAnsi="Calibri" w:cs="Calibri"/>
                <w:color w:val="000000"/>
                <w:sz w:val="22"/>
              </w:rPr>
              <w:t> </w:t>
            </w:r>
          </w:p>
        </w:tc>
        <w:tc>
          <w:tcPr>
            <w:tcW w:w="259" w:type="dxa"/>
            <w:tcBorders>
              <w:top w:val="nil"/>
              <w:left w:val="nil"/>
              <w:bottom w:val="nil"/>
              <w:right w:val="nil"/>
            </w:tcBorders>
            <w:shd w:val="clear" w:color="000000" w:fill="FFFFFF"/>
            <w:noWrap/>
            <w:vAlign w:val="center"/>
            <w:hideMark/>
          </w:tcPr>
          <w:p w14:paraId="412784A9"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24191C4A"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570" w:type="dxa"/>
            <w:tcBorders>
              <w:top w:val="nil"/>
              <w:left w:val="nil"/>
              <w:bottom w:val="nil"/>
              <w:right w:val="nil"/>
            </w:tcBorders>
            <w:shd w:val="clear" w:color="000000" w:fill="FFFFFF"/>
            <w:vAlign w:val="center"/>
            <w:hideMark/>
          </w:tcPr>
          <w:p w14:paraId="725F1500"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r>
      <w:tr w:rsidR="006C255B" w:rsidRPr="000A7C06" w14:paraId="167071C1" w14:textId="77777777" w:rsidTr="007A4FDC">
        <w:trPr>
          <w:trHeight w:val="315"/>
        </w:trPr>
        <w:tc>
          <w:tcPr>
            <w:tcW w:w="1530" w:type="dxa"/>
            <w:tcBorders>
              <w:top w:val="nil"/>
              <w:left w:val="nil"/>
              <w:bottom w:val="nil"/>
              <w:right w:val="nil"/>
            </w:tcBorders>
            <w:shd w:val="clear" w:color="000000" w:fill="FFFFFF"/>
            <w:vAlign w:val="center"/>
            <w:hideMark/>
          </w:tcPr>
          <w:p w14:paraId="07691478"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White</w:t>
            </w:r>
            <w:r w:rsidRPr="000A7C06">
              <w:rPr>
                <w:rFonts w:eastAsia="Times New Roman" w:cs="Times New Roman"/>
                <w:color w:val="000000"/>
                <w:sz w:val="20"/>
                <w:szCs w:val="20"/>
                <w:vertAlign w:val="superscript"/>
              </w:rPr>
              <w:t>d</w:t>
            </w:r>
          </w:p>
        </w:tc>
        <w:tc>
          <w:tcPr>
            <w:tcW w:w="900" w:type="dxa"/>
            <w:tcBorders>
              <w:top w:val="nil"/>
              <w:left w:val="nil"/>
              <w:bottom w:val="nil"/>
              <w:right w:val="nil"/>
            </w:tcBorders>
            <w:shd w:val="clear" w:color="000000" w:fill="FFFFFF"/>
            <w:vAlign w:val="center"/>
            <w:hideMark/>
          </w:tcPr>
          <w:p w14:paraId="6542EE3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58.01%</w:t>
            </w:r>
          </w:p>
        </w:tc>
        <w:tc>
          <w:tcPr>
            <w:tcW w:w="540" w:type="dxa"/>
            <w:tcBorders>
              <w:top w:val="nil"/>
              <w:left w:val="nil"/>
              <w:bottom w:val="nil"/>
              <w:right w:val="nil"/>
            </w:tcBorders>
            <w:shd w:val="clear" w:color="000000" w:fill="FFFFFF"/>
            <w:vAlign w:val="center"/>
            <w:hideMark/>
          </w:tcPr>
          <w:p w14:paraId="53B8F39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7966CD1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77D7ADC5" w14:textId="77777777" w:rsidR="006B3E58" w:rsidRPr="000A7C06" w:rsidRDefault="006B3E58" w:rsidP="006B3E58">
            <w:pPr>
              <w:spacing w:line="240" w:lineRule="auto"/>
              <w:ind w:left="-50"/>
              <w:jc w:val="center"/>
              <w:rPr>
                <w:rFonts w:eastAsia="Times New Roman" w:cs="Times New Roman"/>
                <w:color w:val="000000"/>
                <w:sz w:val="20"/>
                <w:szCs w:val="20"/>
              </w:rPr>
            </w:pPr>
            <w:r w:rsidRPr="000A7C06">
              <w:rPr>
                <w:rFonts w:eastAsia="Times New Roman" w:cs="Times New Roman"/>
                <w:color w:val="000000"/>
                <w:sz w:val="20"/>
                <w:szCs w:val="20"/>
              </w:rPr>
              <w:t>67.10%</w:t>
            </w:r>
          </w:p>
        </w:tc>
        <w:tc>
          <w:tcPr>
            <w:tcW w:w="630" w:type="dxa"/>
            <w:tcBorders>
              <w:top w:val="nil"/>
              <w:left w:val="nil"/>
              <w:bottom w:val="nil"/>
              <w:right w:val="nil"/>
            </w:tcBorders>
            <w:shd w:val="clear" w:color="000000" w:fill="FFFFFF"/>
            <w:vAlign w:val="center"/>
            <w:hideMark/>
          </w:tcPr>
          <w:p w14:paraId="28324F7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2D2017B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339E4B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78.94%</w:t>
            </w:r>
          </w:p>
        </w:tc>
        <w:tc>
          <w:tcPr>
            <w:tcW w:w="630" w:type="dxa"/>
            <w:tcBorders>
              <w:top w:val="nil"/>
              <w:left w:val="nil"/>
              <w:bottom w:val="nil"/>
              <w:right w:val="nil"/>
            </w:tcBorders>
            <w:shd w:val="clear" w:color="000000" w:fill="FFFFFF"/>
            <w:vAlign w:val="center"/>
            <w:hideMark/>
          </w:tcPr>
          <w:p w14:paraId="1F087DF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23D5A17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559FE3D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75.58%</w:t>
            </w:r>
          </w:p>
        </w:tc>
        <w:tc>
          <w:tcPr>
            <w:tcW w:w="630" w:type="dxa"/>
            <w:tcBorders>
              <w:top w:val="nil"/>
              <w:left w:val="nil"/>
              <w:bottom w:val="nil"/>
              <w:right w:val="nil"/>
            </w:tcBorders>
            <w:shd w:val="clear" w:color="000000" w:fill="FFFFFF"/>
            <w:vAlign w:val="center"/>
            <w:hideMark/>
          </w:tcPr>
          <w:p w14:paraId="71F47CE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4B67B268"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6434248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78.57%</w:t>
            </w:r>
          </w:p>
        </w:tc>
        <w:tc>
          <w:tcPr>
            <w:tcW w:w="570" w:type="dxa"/>
            <w:tcBorders>
              <w:top w:val="nil"/>
              <w:left w:val="nil"/>
              <w:bottom w:val="nil"/>
              <w:right w:val="nil"/>
            </w:tcBorders>
            <w:shd w:val="clear" w:color="000000" w:fill="FFFFFF"/>
            <w:vAlign w:val="center"/>
            <w:hideMark/>
          </w:tcPr>
          <w:p w14:paraId="3F6B678D"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4DF7642A" w14:textId="77777777" w:rsidTr="007A4FDC">
        <w:trPr>
          <w:trHeight w:val="315"/>
        </w:trPr>
        <w:tc>
          <w:tcPr>
            <w:tcW w:w="1530" w:type="dxa"/>
            <w:tcBorders>
              <w:top w:val="nil"/>
              <w:left w:val="nil"/>
              <w:bottom w:val="nil"/>
              <w:right w:val="nil"/>
            </w:tcBorders>
            <w:shd w:val="clear" w:color="000000" w:fill="FFFFFF"/>
            <w:vAlign w:val="center"/>
            <w:hideMark/>
          </w:tcPr>
          <w:p w14:paraId="72C8B14F"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Black</w:t>
            </w:r>
          </w:p>
        </w:tc>
        <w:tc>
          <w:tcPr>
            <w:tcW w:w="900" w:type="dxa"/>
            <w:tcBorders>
              <w:top w:val="nil"/>
              <w:left w:val="nil"/>
              <w:bottom w:val="nil"/>
              <w:right w:val="nil"/>
            </w:tcBorders>
            <w:shd w:val="clear" w:color="000000" w:fill="FFFFFF"/>
            <w:vAlign w:val="center"/>
            <w:hideMark/>
          </w:tcPr>
          <w:p w14:paraId="1847066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33.60%</w:t>
            </w:r>
          </w:p>
        </w:tc>
        <w:tc>
          <w:tcPr>
            <w:tcW w:w="540" w:type="dxa"/>
            <w:tcBorders>
              <w:top w:val="nil"/>
              <w:left w:val="nil"/>
              <w:bottom w:val="nil"/>
              <w:right w:val="nil"/>
            </w:tcBorders>
            <w:shd w:val="clear" w:color="000000" w:fill="FFFFFF"/>
            <w:vAlign w:val="center"/>
            <w:hideMark/>
          </w:tcPr>
          <w:p w14:paraId="77CC999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7F2E2F3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9D5611D"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25.00%</w:t>
            </w:r>
          </w:p>
        </w:tc>
        <w:tc>
          <w:tcPr>
            <w:tcW w:w="630" w:type="dxa"/>
            <w:tcBorders>
              <w:top w:val="nil"/>
              <w:left w:val="nil"/>
              <w:bottom w:val="nil"/>
              <w:right w:val="nil"/>
            </w:tcBorders>
            <w:shd w:val="clear" w:color="000000" w:fill="FFFFFF"/>
            <w:noWrap/>
            <w:vAlign w:val="center"/>
            <w:hideMark/>
          </w:tcPr>
          <w:p w14:paraId="79FB682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3CD893F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5BB129E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17.10%</w:t>
            </w:r>
          </w:p>
        </w:tc>
        <w:tc>
          <w:tcPr>
            <w:tcW w:w="630" w:type="dxa"/>
            <w:tcBorders>
              <w:top w:val="nil"/>
              <w:left w:val="nil"/>
              <w:bottom w:val="nil"/>
              <w:right w:val="nil"/>
            </w:tcBorders>
            <w:shd w:val="clear" w:color="000000" w:fill="FFFFFF"/>
            <w:noWrap/>
            <w:vAlign w:val="center"/>
            <w:hideMark/>
          </w:tcPr>
          <w:p w14:paraId="36A114C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5CA5EC6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46C1A4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20.93%</w:t>
            </w:r>
          </w:p>
        </w:tc>
        <w:tc>
          <w:tcPr>
            <w:tcW w:w="630" w:type="dxa"/>
            <w:tcBorders>
              <w:top w:val="nil"/>
              <w:left w:val="nil"/>
              <w:bottom w:val="nil"/>
              <w:right w:val="nil"/>
            </w:tcBorders>
            <w:shd w:val="clear" w:color="000000" w:fill="FFFFFF"/>
            <w:noWrap/>
            <w:vAlign w:val="center"/>
            <w:hideMark/>
          </w:tcPr>
          <w:p w14:paraId="2238888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6DDA9D79"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76D8238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21.43%</w:t>
            </w:r>
          </w:p>
        </w:tc>
        <w:tc>
          <w:tcPr>
            <w:tcW w:w="570" w:type="dxa"/>
            <w:tcBorders>
              <w:top w:val="nil"/>
              <w:left w:val="nil"/>
              <w:bottom w:val="nil"/>
              <w:right w:val="nil"/>
            </w:tcBorders>
            <w:shd w:val="clear" w:color="000000" w:fill="FFFFFF"/>
            <w:noWrap/>
            <w:vAlign w:val="center"/>
            <w:hideMark/>
          </w:tcPr>
          <w:p w14:paraId="5CD762D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41E9EE28" w14:textId="77777777" w:rsidTr="007A4FDC">
        <w:trPr>
          <w:trHeight w:val="315"/>
        </w:trPr>
        <w:tc>
          <w:tcPr>
            <w:tcW w:w="1530" w:type="dxa"/>
            <w:tcBorders>
              <w:top w:val="nil"/>
              <w:left w:val="nil"/>
              <w:bottom w:val="nil"/>
              <w:right w:val="nil"/>
            </w:tcBorders>
            <w:shd w:val="clear" w:color="000000" w:fill="FFFFFF"/>
            <w:vAlign w:val="center"/>
            <w:hideMark/>
          </w:tcPr>
          <w:p w14:paraId="26CA707B"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Hispanic</w:t>
            </w:r>
          </w:p>
        </w:tc>
        <w:tc>
          <w:tcPr>
            <w:tcW w:w="900" w:type="dxa"/>
            <w:tcBorders>
              <w:top w:val="nil"/>
              <w:left w:val="nil"/>
              <w:bottom w:val="nil"/>
              <w:right w:val="nil"/>
            </w:tcBorders>
            <w:shd w:val="clear" w:color="000000" w:fill="FFFFFF"/>
            <w:vAlign w:val="center"/>
            <w:hideMark/>
          </w:tcPr>
          <w:p w14:paraId="3F49F4A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8.40%</w:t>
            </w:r>
          </w:p>
        </w:tc>
        <w:tc>
          <w:tcPr>
            <w:tcW w:w="540" w:type="dxa"/>
            <w:tcBorders>
              <w:top w:val="nil"/>
              <w:left w:val="nil"/>
              <w:bottom w:val="nil"/>
              <w:right w:val="nil"/>
            </w:tcBorders>
            <w:shd w:val="clear" w:color="000000" w:fill="FFFFFF"/>
            <w:vAlign w:val="center"/>
            <w:hideMark/>
          </w:tcPr>
          <w:p w14:paraId="133A851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471019C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FB97BA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7.89%</w:t>
            </w:r>
          </w:p>
        </w:tc>
        <w:tc>
          <w:tcPr>
            <w:tcW w:w="630" w:type="dxa"/>
            <w:tcBorders>
              <w:top w:val="nil"/>
              <w:left w:val="nil"/>
              <w:bottom w:val="nil"/>
              <w:right w:val="nil"/>
            </w:tcBorders>
            <w:shd w:val="clear" w:color="000000" w:fill="FFFFFF"/>
            <w:vAlign w:val="center"/>
            <w:hideMark/>
          </w:tcPr>
          <w:p w14:paraId="19CA5EE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03A7D9E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5960254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3.94%</w:t>
            </w:r>
          </w:p>
        </w:tc>
        <w:tc>
          <w:tcPr>
            <w:tcW w:w="630" w:type="dxa"/>
            <w:tcBorders>
              <w:top w:val="nil"/>
              <w:left w:val="nil"/>
              <w:bottom w:val="nil"/>
              <w:right w:val="nil"/>
            </w:tcBorders>
            <w:shd w:val="clear" w:color="000000" w:fill="FFFFFF"/>
            <w:vAlign w:val="center"/>
            <w:hideMark/>
          </w:tcPr>
          <w:p w14:paraId="5883CA6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52F8733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068B56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3.49%</w:t>
            </w:r>
          </w:p>
        </w:tc>
        <w:tc>
          <w:tcPr>
            <w:tcW w:w="630" w:type="dxa"/>
            <w:tcBorders>
              <w:top w:val="nil"/>
              <w:left w:val="nil"/>
              <w:bottom w:val="nil"/>
              <w:right w:val="nil"/>
            </w:tcBorders>
            <w:shd w:val="clear" w:color="000000" w:fill="FFFFFF"/>
            <w:vAlign w:val="center"/>
            <w:hideMark/>
          </w:tcPr>
          <w:p w14:paraId="6C03577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573FCC38"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458A659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0.00%</w:t>
            </w:r>
          </w:p>
        </w:tc>
        <w:tc>
          <w:tcPr>
            <w:tcW w:w="570" w:type="dxa"/>
            <w:tcBorders>
              <w:top w:val="nil"/>
              <w:left w:val="nil"/>
              <w:bottom w:val="nil"/>
              <w:right w:val="nil"/>
            </w:tcBorders>
            <w:shd w:val="clear" w:color="000000" w:fill="FFFFFF"/>
            <w:vAlign w:val="center"/>
            <w:hideMark/>
          </w:tcPr>
          <w:p w14:paraId="69677B1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3FCB72C2" w14:textId="77777777" w:rsidTr="007A4FDC">
        <w:trPr>
          <w:trHeight w:val="315"/>
        </w:trPr>
        <w:tc>
          <w:tcPr>
            <w:tcW w:w="1530" w:type="dxa"/>
            <w:tcBorders>
              <w:top w:val="nil"/>
              <w:left w:val="nil"/>
              <w:bottom w:val="nil"/>
              <w:right w:val="nil"/>
            </w:tcBorders>
            <w:shd w:val="clear" w:color="000000" w:fill="FFFFFF"/>
            <w:vAlign w:val="center"/>
            <w:hideMark/>
          </w:tcPr>
          <w:p w14:paraId="46625557"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Religion</w:t>
            </w:r>
          </w:p>
        </w:tc>
        <w:tc>
          <w:tcPr>
            <w:tcW w:w="900" w:type="dxa"/>
            <w:tcBorders>
              <w:top w:val="nil"/>
              <w:left w:val="nil"/>
              <w:bottom w:val="nil"/>
              <w:right w:val="nil"/>
            </w:tcBorders>
            <w:shd w:val="clear" w:color="000000" w:fill="FFFFFF"/>
            <w:vAlign w:val="center"/>
            <w:hideMark/>
          </w:tcPr>
          <w:p w14:paraId="4570B82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540" w:type="dxa"/>
            <w:tcBorders>
              <w:top w:val="nil"/>
              <w:left w:val="nil"/>
              <w:bottom w:val="nil"/>
              <w:right w:val="nil"/>
            </w:tcBorders>
            <w:shd w:val="clear" w:color="000000" w:fill="FFFFFF"/>
            <w:vAlign w:val="center"/>
            <w:hideMark/>
          </w:tcPr>
          <w:p w14:paraId="1055B04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270" w:type="dxa"/>
            <w:tcBorders>
              <w:top w:val="nil"/>
              <w:left w:val="nil"/>
              <w:bottom w:val="nil"/>
              <w:right w:val="nil"/>
            </w:tcBorders>
            <w:shd w:val="clear" w:color="000000" w:fill="FFFFFF"/>
            <w:noWrap/>
            <w:vAlign w:val="center"/>
            <w:hideMark/>
          </w:tcPr>
          <w:p w14:paraId="42591E5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FECC09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630" w:type="dxa"/>
            <w:tcBorders>
              <w:top w:val="nil"/>
              <w:left w:val="nil"/>
              <w:bottom w:val="nil"/>
              <w:right w:val="nil"/>
            </w:tcBorders>
            <w:shd w:val="clear" w:color="000000" w:fill="FFFFFF"/>
            <w:vAlign w:val="center"/>
            <w:hideMark/>
          </w:tcPr>
          <w:p w14:paraId="68A4954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270" w:type="dxa"/>
            <w:tcBorders>
              <w:top w:val="nil"/>
              <w:left w:val="nil"/>
              <w:bottom w:val="nil"/>
              <w:right w:val="nil"/>
            </w:tcBorders>
            <w:shd w:val="clear" w:color="000000" w:fill="FFFFFF"/>
            <w:noWrap/>
            <w:vAlign w:val="center"/>
            <w:hideMark/>
          </w:tcPr>
          <w:p w14:paraId="0CFEADF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1649DE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630" w:type="dxa"/>
            <w:tcBorders>
              <w:top w:val="nil"/>
              <w:left w:val="nil"/>
              <w:bottom w:val="nil"/>
              <w:right w:val="nil"/>
            </w:tcBorders>
            <w:shd w:val="clear" w:color="000000" w:fill="FFFFFF"/>
            <w:vAlign w:val="center"/>
            <w:hideMark/>
          </w:tcPr>
          <w:p w14:paraId="2C0B1B4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270" w:type="dxa"/>
            <w:tcBorders>
              <w:top w:val="nil"/>
              <w:left w:val="nil"/>
              <w:bottom w:val="nil"/>
              <w:right w:val="nil"/>
            </w:tcBorders>
            <w:shd w:val="clear" w:color="000000" w:fill="FFFFFF"/>
            <w:vAlign w:val="center"/>
            <w:hideMark/>
          </w:tcPr>
          <w:p w14:paraId="4121997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109C9BE" w14:textId="77777777" w:rsidR="006B3E58" w:rsidRPr="000A7C06" w:rsidRDefault="006B3E58" w:rsidP="006B3E58">
            <w:pPr>
              <w:spacing w:line="240" w:lineRule="auto"/>
              <w:jc w:val="center"/>
              <w:rPr>
                <w:rFonts w:ascii="Calibri" w:eastAsia="Times New Roman" w:hAnsi="Calibri" w:cs="Calibri"/>
                <w:color w:val="000000"/>
                <w:sz w:val="22"/>
              </w:rPr>
            </w:pPr>
            <w:r w:rsidRPr="000A7C06">
              <w:rPr>
                <w:rFonts w:ascii="Calibri" w:eastAsia="Times New Roman" w:hAnsi="Calibri" w:cs="Calibri"/>
                <w:color w:val="000000"/>
                <w:sz w:val="22"/>
              </w:rPr>
              <w:t> </w:t>
            </w:r>
          </w:p>
        </w:tc>
        <w:tc>
          <w:tcPr>
            <w:tcW w:w="630" w:type="dxa"/>
            <w:tcBorders>
              <w:top w:val="nil"/>
              <w:left w:val="nil"/>
              <w:bottom w:val="nil"/>
              <w:right w:val="nil"/>
            </w:tcBorders>
            <w:shd w:val="clear" w:color="000000" w:fill="FFFFFF"/>
            <w:vAlign w:val="center"/>
            <w:hideMark/>
          </w:tcPr>
          <w:p w14:paraId="2F8D517F" w14:textId="77777777" w:rsidR="006B3E58" w:rsidRPr="000A7C06" w:rsidRDefault="006B3E58" w:rsidP="006B3E58">
            <w:pPr>
              <w:spacing w:line="240" w:lineRule="auto"/>
              <w:jc w:val="center"/>
              <w:rPr>
                <w:rFonts w:ascii="Calibri" w:eastAsia="Times New Roman" w:hAnsi="Calibri" w:cs="Calibri"/>
                <w:color w:val="000000"/>
                <w:sz w:val="22"/>
              </w:rPr>
            </w:pPr>
            <w:r w:rsidRPr="000A7C06">
              <w:rPr>
                <w:rFonts w:ascii="Calibri" w:eastAsia="Times New Roman" w:hAnsi="Calibri" w:cs="Calibri"/>
                <w:color w:val="000000"/>
                <w:sz w:val="22"/>
              </w:rPr>
              <w:t> </w:t>
            </w:r>
          </w:p>
        </w:tc>
        <w:tc>
          <w:tcPr>
            <w:tcW w:w="259" w:type="dxa"/>
            <w:tcBorders>
              <w:top w:val="nil"/>
              <w:left w:val="nil"/>
              <w:bottom w:val="nil"/>
              <w:right w:val="nil"/>
            </w:tcBorders>
            <w:shd w:val="clear" w:color="000000" w:fill="FFFFFF"/>
            <w:noWrap/>
            <w:vAlign w:val="center"/>
            <w:hideMark/>
          </w:tcPr>
          <w:p w14:paraId="5B7C35F3"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472E89B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570" w:type="dxa"/>
            <w:tcBorders>
              <w:top w:val="nil"/>
              <w:left w:val="nil"/>
              <w:bottom w:val="nil"/>
              <w:right w:val="nil"/>
            </w:tcBorders>
            <w:shd w:val="clear" w:color="000000" w:fill="FFFFFF"/>
            <w:vAlign w:val="center"/>
            <w:hideMark/>
          </w:tcPr>
          <w:p w14:paraId="5F64F9A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r>
      <w:tr w:rsidR="006C255B" w:rsidRPr="000A7C06" w14:paraId="650B38A4" w14:textId="77777777" w:rsidTr="007A4FDC">
        <w:trPr>
          <w:trHeight w:val="315"/>
        </w:trPr>
        <w:tc>
          <w:tcPr>
            <w:tcW w:w="1530" w:type="dxa"/>
            <w:tcBorders>
              <w:top w:val="nil"/>
              <w:left w:val="nil"/>
              <w:bottom w:val="nil"/>
              <w:right w:val="nil"/>
            </w:tcBorders>
            <w:shd w:val="clear" w:color="000000" w:fill="FFFFFF"/>
            <w:vAlign w:val="center"/>
            <w:hideMark/>
          </w:tcPr>
          <w:p w14:paraId="7AFE618D"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Muslim</w:t>
            </w:r>
          </w:p>
        </w:tc>
        <w:tc>
          <w:tcPr>
            <w:tcW w:w="900" w:type="dxa"/>
            <w:tcBorders>
              <w:top w:val="nil"/>
              <w:left w:val="nil"/>
              <w:bottom w:val="nil"/>
              <w:right w:val="nil"/>
            </w:tcBorders>
            <w:shd w:val="clear" w:color="000000" w:fill="FFFFFF"/>
            <w:vAlign w:val="center"/>
            <w:hideMark/>
          </w:tcPr>
          <w:p w14:paraId="0BF15FB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7.60%</w:t>
            </w:r>
          </w:p>
        </w:tc>
        <w:tc>
          <w:tcPr>
            <w:tcW w:w="540" w:type="dxa"/>
            <w:tcBorders>
              <w:top w:val="nil"/>
              <w:left w:val="nil"/>
              <w:bottom w:val="nil"/>
              <w:right w:val="nil"/>
            </w:tcBorders>
            <w:shd w:val="clear" w:color="000000" w:fill="FFFFFF"/>
            <w:vAlign w:val="center"/>
            <w:hideMark/>
          </w:tcPr>
          <w:p w14:paraId="45F12B1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500E319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B918F2D"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3.95%</w:t>
            </w:r>
          </w:p>
        </w:tc>
        <w:tc>
          <w:tcPr>
            <w:tcW w:w="630" w:type="dxa"/>
            <w:tcBorders>
              <w:top w:val="nil"/>
              <w:left w:val="nil"/>
              <w:bottom w:val="nil"/>
              <w:right w:val="nil"/>
            </w:tcBorders>
            <w:shd w:val="clear" w:color="000000" w:fill="FFFFFF"/>
            <w:vAlign w:val="center"/>
            <w:hideMark/>
          </w:tcPr>
          <w:p w14:paraId="2A2E8DF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5708DD5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0A1F938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0.00%</w:t>
            </w:r>
          </w:p>
        </w:tc>
        <w:tc>
          <w:tcPr>
            <w:tcW w:w="630" w:type="dxa"/>
            <w:tcBorders>
              <w:top w:val="nil"/>
              <w:left w:val="nil"/>
              <w:bottom w:val="nil"/>
              <w:right w:val="nil"/>
            </w:tcBorders>
            <w:shd w:val="clear" w:color="000000" w:fill="FFFFFF"/>
            <w:vAlign w:val="center"/>
            <w:hideMark/>
          </w:tcPr>
          <w:p w14:paraId="786B0B0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3D93618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5A11BBF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0.00%</w:t>
            </w:r>
          </w:p>
        </w:tc>
        <w:tc>
          <w:tcPr>
            <w:tcW w:w="630" w:type="dxa"/>
            <w:tcBorders>
              <w:top w:val="nil"/>
              <w:left w:val="nil"/>
              <w:bottom w:val="nil"/>
              <w:right w:val="nil"/>
            </w:tcBorders>
            <w:shd w:val="clear" w:color="000000" w:fill="FFFFFF"/>
            <w:vAlign w:val="center"/>
            <w:hideMark/>
          </w:tcPr>
          <w:p w14:paraId="756565A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4DF9667F"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73DE043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0.00%</w:t>
            </w:r>
          </w:p>
        </w:tc>
        <w:tc>
          <w:tcPr>
            <w:tcW w:w="570" w:type="dxa"/>
            <w:tcBorders>
              <w:top w:val="nil"/>
              <w:left w:val="nil"/>
              <w:bottom w:val="nil"/>
              <w:right w:val="nil"/>
            </w:tcBorders>
            <w:shd w:val="clear" w:color="000000" w:fill="FFFFFF"/>
            <w:vAlign w:val="center"/>
            <w:hideMark/>
          </w:tcPr>
          <w:p w14:paraId="2754389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0054295D" w14:textId="77777777" w:rsidTr="007A4FDC">
        <w:trPr>
          <w:trHeight w:val="315"/>
        </w:trPr>
        <w:tc>
          <w:tcPr>
            <w:tcW w:w="1530" w:type="dxa"/>
            <w:tcBorders>
              <w:top w:val="nil"/>
              <w:left w:val="nil"/>
              <w:bottom w:val="nil"/>
              <w:right w:val="nil"/>
            </w:tcBorders>
            <w:shd w:val="clear" w:color="000000" w:fill="FFFFFF"/>
            <w:vAlign w:val="center"/>
            <w:hideMark/>
          </w:tcPr>
          <w:p w14:paraId="7A88D23A"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Catholic</w:t>
            </w:r>
          </w:p>
        </w:tc>
        <w:tc>
          <w:tcPr>
            <w:tcW w:w="900" w:type="dxa"/>
            <w:tcBorders>
              <w:top w:val="nil"/>
              <w:left w:val="nil"/>
              <w:bottom w:val="nil"/>
              <w:right w:val="nil"/>
            </w:tcBorders>
            <w:shd w:val="clear" w:color="000000" w:fill="FFFFFF"/>
            <w:vAlign w:val="center"/>
            <w:hideMark/>
          </w:tcPr>
          <w:p w14:paraId="6DF5F56D"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22.90%</w:t>
            </w:r>
          </w:p>
        </w:tc>
        <w:tc>
          <w:tcPr>
            <w:tcW w:w="540" w:type="dxa"/>
            <w:tcBorders>
              <w:top w:val="nil"/>
              <w:left w:val="nil"/>
              <w:bottom w:val="nil"/>
              <w:right w:val="nil"/>
            </w:tcBorders>
            <w:shd w:val="clear" w:color="000000" w:fill="FFFFFF"/>
            <w:vAlign w:val="center"/>
            <w:hideMark/>
          </w:tcPr>
          <w:p w14:paraId="0FD5484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0442215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7804ADE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25.00%</w:t>
            </w:r>
          </w:p>
        </w:tc>
        <w:tc>
          <w:tcPr>
            <w:tcW w:w="630" w:type="dxa"/>
            <w:tcBorders>
              <w:top w:val="nil"/>
              <w:left w:val="nil"/>
              <w:bottom w:val="nil"/>
              <w:right w:val="nil"/>
            </w:tcBorders>
            <w:shd w:val="clear" w:color="000000" w:fill="FFFFFF"/>
            <w:vAlign w:val="center"/>
            <w:hideMark/>
          </w:tcPr>
          <w:p w14:paraId="6690B82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58F5C1C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716E02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22.37%</w:t>
            </w:r>
          </w:p>
        </w:tc>
        <w:tc>
          <w:tcPr>
            <w:tcW w:w="630" w:type="dxa"/>
            <w:tcBorders>
              <w:top w:val="nil"/>
              <w:left w:val="nil"/>
              <w:bottom w:val="nil"/>
              <w:right w:val="nil"/>
            </w:tcBorders>
            <w:shd w:val="clear" w:color="000000" w:fill="FFFFFF"/>
            <w:vAlign w:val="center"/>
            <w:hideMark/>
          </w:tcPr>
          <w:p w14:paraId="73A3211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5439947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002B2DD"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27.91%</w:t>
            </w:r>
          </w:p>
        </w:tc>
        <w:tc>
          <w:tcPr>
            <w:tcW w:w="630" w:type="dxa"/>
            <w:tcBorders>
              <w:top w:val="nil"/>
              <w:left w:val="nil"/>
              <w:bottom w:val="nil"/>
              <w:right w:val="nil"/>
            </w:tcBorders>
            <w:shd w:val="clear" w:color="000000" w:fill="FFFFFF"/>
            <w:vAlign w:val="center"/>
            <w:hideMark/>
          </w:tcPr>
          <w:p w14:paraId="4294A34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5B47955B"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6439AC5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14.29%</w:t>
            </w:r>
          </w:p>
        </w:tc>
        <w:tc>
          <w:tcPr>
            <w:tcW w:w="570" w:type="dxa"/>
            <w:tcBorders>
              <w:top w:val="nil"/>
              <w:left w:val="nil"/>
              <w:bottom w:val="nil"/>
              <w:right w:val="nil"/>
            </w:tcBorders>
            <w:shd w:val="clear" w:color="000000" w:fill="FFFFFF"/>
            <w:vAlign w:val="center"/>
            <w:hideMark/>
          </w:tcPr>
          <w:p w14:paraId="1396194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6E560FB6" w14:textId="77777777" w:rsidTr="007A4FDC">
        <w:trPr>
          <w:trHeight w:val="315"/>
        </w:trPr>
        <w:tc>
          <w:tcPr>
            <w:tcW w:w="1530" w:type="dxa"/>
            <w:tcBorders>
              <w:top w:val="nil"/>
              <w:left w:val="nil"/>
              <w:bottom w:val="nil"/>
              <w:right w:val="nil"/>
            </w:tcBorders>
            <w:shd w:val="clear" w:color="000000" w:fill="FFFFFF"/>
            <w:vAlign w:val="center"/>
            <w:hideMark/>
          </w:tcPr>
          <w:p w14:paraId="37C3783A"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Protestant</w:t>
            </w:r>
          </w:p>
        </w:tc>
        <w:tc>
          <w:tcPr>
            <w:tcW w:w="900" w:type="dxa"/>
            <w:tcBorders>
              <w:top w:val="nil"/>
              <w:left w:val="nil"/>
              <w:bottom w:val="nil"/>
              <w:right w:val="nil"/>
            </w:tcBorders>
            <w:shd w:val="clear" w:color="000000" w:fill="FFFFFF"/>
            <w:vAlign w:val="center"/>
            <w:hideMark/>
          </w:tcPr>
          <w:p w14:paraId="60E81FB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58.80%</w:t>
            </w:r>
          </w:p>
        </w:tc>
        <w:tc>
          <w:tcPr>
            <w:tcW w:w="540" w:type="dxa"/>
            <w:tcBorders>
              <w:top w:val="nil"/>
              <w:left w:val="nil"/>
              <w:bottom w:val="nil"/>
              <w:right w:val="nil"/>
            </w:tcBorders>
            <w:shd w:val="clear" w:color="000000" w:fill="FFFFFF"/>
            <w:vAlign w:val="center"/>
            <w:hideMark/>
          </w:tcPr>
          <w:p w14:paraId="44148A4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630918A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6F04E47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36.84%</w:t>
            </w:r>
          </w:p>
        </w:tc>
        <w:tc>
          <w:tcPr>
            <w:tcW w:w="630" w:type="dxa"/>
            <w:tcBorders>
              <w:top w:val="nil"/>
              <w:left w:val="nil"/>
              <w:bottom w:val="nil"/>
              <w:right w:val="nil"/>
            </w:tcBorders>
            <w:shd w:val="clear" w:color="000000" w:fill="FFFFFF"/>
            <w:vAlign w:val="center"/>
            <w:hideMark/>
          </w:tcPr>
          <w:p w14:paraId="29BC87FD"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40B9AC9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2E1EA86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44.74%</w:t>
            </w:r>
          </w:p>
        </w:tc>
        <w:tc>
          <w:tcPr>
            <w:tcW w:w="630" w:type="dxa"/>
            <w:tcBorders>
              <w:top w:val="nil"/>
              <w:left w:val="nil"/>
              <w:bottom w:val="nil"/>
              <w:right w:val="nil"/>
            </w:tcBorders>
            <w:shd w:val="clear" w:color="000000" w:fill="FFFFFF"/>
            <w:vAlign w:val="center"/>
            <w:hideMark/>
          </w:tcPr>
          <w:p w14:paraId="692F037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4BA568E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23B5B93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45.32%</w:t>
            </w:r>
          </w:p>
        </w:tc>
        <w:tc>
          <w:tcPr>
            <w:tcW w:w="630" w:type="dxa"/>
            <w:tcBorders>
              <w:top w:val="nil"/>
              <w:left w:val="nil"/>
              <w:bottom w:val="nil"/>
              <w:right w:val="nil"/>
            </w:tcBorders>
            <w:shd w:val="clear" w:color="000000" w:fill="FFFFFF"/>
            <w:vAlign w:val="center"/>
            <w:hideMark/>
          </w:tcPr>
          <w:p w14:paraId="0D8E2F6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22BDF291"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vAlign w:val="center"/>
            <w:hideMark/>
          </w:tcPr>
          <w:p w14:paraId="6C0F5E3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42.86%</w:t>
            </w:r>
          </w:p>
        </w:tc>
        <w:tc>
          <w:tcPr>
            <w:tcW w:w="570" w:type="dxa"/>
            <w:tcBorders>
              <w:top w:val="nil"/>
              <w:left w:val="nil"/>
              <w:bottom w:val="nil"/>
              <w:right w:val="nil"/>
            </w:tcBorders>
            <w:shd w:val="clear" w:color="000000" w:fill="FFFFFF"/>
            <w:vAlign w:val="center"/>
            <w:hideMark/>
          </w:tcPr>
          <w:p w14:paraId="249E775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2464BB28" w14:textId="77777777" w:rsidTr="007A4FDC">
        <w:trPr>
          <w:trHeight w:val="315"/>
        </w:trPr>
        <w:tc>
          <w:tcPr>
            <w:tcW w:w="1530" w:type="dxa"/>
            <w:tcBorders>
              <w:top w:val="nil"/>
              <w:left w:val="nil"/>
              <w:bottom w:val="nil"/>
              <w:right w:val="nil"/>
            </w:tcBorders>
            <w:shd w:val="clear" w:color="000000" w:fill="FFFFFF"/>
            <w:vAlign w:val="center"/>
            <w:hideMark/>
          </w:tcPr>
          <w:p w14:paraId="76A5ACA7"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Other</w:t>
            </w:r>
          </w:p>
        </w:tc>
        <w:tc>
          <w:tcPr>
            <w:tcW w:w="900" w:type="dxa"/>
            <w:tcBorders>
              <w:top w:val="nil"/>
              <w:left w:val="nil"/>
              <w:bottom w:val="nil"/>
              <w:right w:val="nil"/>
            </w:tcBorders>
            <w:shd w:val="clear" w:color="000000" w:fill="FFFFFF"/>
            <w:vAlign w:val="center"/>
            <w:hideMark/>
          </w:tcPr>
          <w:p w14:paraId="4CDD867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3.05%</w:t>
            </w:r>
          </w:p>
        </w:tc>
        <w:tc>
          <w:tcPr>
            <w:tcW w:w="540" w:type="dxa"/>
            <w:tcBorders>
              <w:top w:val="nil"/>
              <w:left w:val="nil"/>
              <w:bottom w:val="nil"/>
              <w:right w:val="nil"/>
            </w:tcBorders>
            <w:shd w:val="clear" w:color="000000" w:fill="FFFFFF"/>
            <w:vAlign w:val="center"/>
            <w:hideMark/>
          </w:tcPr>
          <w:p w14:paraId="697C708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65F6AB9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4321759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13.16%</w:t>
            </w:r>
          </w:p>
        </w:tc>
        <w:tc>
          <w:tcPr>
            <w:tcW w:w="630" w:type="dxa"/>
            <w:tcBorders>
              <w:top w:val="nil"/>
              <w:left w:val="nil"/>
              <w:bottom w:val="nil"/>
              <w:right w:val="nil"/>
            </w:tcBorders>
            <w:shd w:val="clear" w:color="000000" w:fill="FFFFFF"/>
            <w:vAlign w:val="center"/>
            <w:hideMark/>
          </w:tcPr>
          <w:p w14:paraId="75A891A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5EE9445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35EF4A6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9.21%</w:t>
            </w:r>
          </w:p>
        </w:tc>
        <w:tc>
          <w:tcPr>
            <w:tcW w:w="630" w:type="dxa"/>
            <w:tcBorders>
              <w:top w:val="nil"/>
              <w:left w:val="nil"/>
              <w:bottom w:val="nil"/>
              <w:right w:val="nil"/>
            </w:tcBorders>
            <w:shd w:val="clear" w:color="000000" w:fill="FFFFFF"/>
            <w:vAlign w:val="center"/>
            <w:hideMark/>
          </w:tcPr>
          <w:p w14:paraId="3806C70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770E67C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7EB0306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8.14%</w:t>
            </w:r>
          </w:p>
        </w:tc>
        <w:tc>
          <w:tcPr>
            <w:tcW w:w="630" w:type="dxa"/>
            <w:tcBorders>
              <w:top w:val="nil"/>
              <w:left w:val="nil"/>
              <w:bottom w:val="nil"/>
              <w:right w:val="nil"/>
            </w:tcBorders>
            <w:shd w:val="clear" w:color="000000" w:fill="FFFFFF"/>
            <w:vAlign w:val="center"/>
            <w:hideMark/>
          </w:tcPr>
          <w:p w14:paraId="483CF97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663A35CC"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vAlign w:val="center"/>
            <w:hideMark/>
          </w:tcPr>
          <w:p w14:paraId="622EB37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21.43%</w:t>
            </w:r>
          </w:p>
        </w:tc>
        <w:tc>
          <w:tcPr>
            <w:tcW w:w="570" w:type="dxa"/>
            <w:tcBorders>
              <w:top w:val="nil"/>
              <w:left w:val="nil"/>
              <w:bottom w:val="nil"/>
              <w:right w:val="nil"/>
            </w:tcBorders>
            <w:shd w:val="clear" w:color="000000" w:fill="FFFFFF"/>
            <w:vAlign w:val="center"/>
            <w:hideMark/>
          </w:tcPr>
          <w:p w14:paraId="34A7CCB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36AD7588" w14:textId="77777777" w:rsidTr="007A4FDC">
        <w:trPr>
          <w:trHeight w:val="315"/>
        </w:trPr>
        <w:tc>
          <w:tcPr>
            <w:tcW w:w="1530" w:type="dxa"/>
            <w:tcBorders>
              <w:top w:val="nil"/>
              <w:left w:val="nil"/>
              <w:bottom w:val="nil"/>
              <w:right w:val="nil"/>
            </w:tcBorders>
            <w:shd w:val="clear" w:color="000000" w:fill="FFFFFF"/>
            <w:vAlign w:val="center"/>
            <w:hideMark/>
          </w:tcPr>
          <w:p w14:paraId="476CB5FD"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None</w:t>
            </w:r>
          </w:p>
        </w:tc>
        <w:tc>
          <w:tcPr>
            <w:tcW w:w="900" w:type="dxa"/>
            <w:tcBorders>
              <w:top w:val="nil"/>
              <w:left w:val="nil"/>
              <w:bottom w:val="nil"/>
              <w:right w:val="nil"/>
            </w:tcBorders>
            <w:shd w:val="clear" w:color="000000" w:fill="FFFFFF"/>
            <w:vAlign w:val="center"/>
            <w:hideMark/>
          </w:tcPr>
          <w:p w14:paraId="308E773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6.87%</w:t>
            </w:r>
          </w:p>
        </w:tc>
        <w:tc>
          <w:tcPr>
            <w:tcW w:w="540" w:type="dxa"/>
            <w:tcBorders>
              <w:top w:val="nil"/>
              <w:left w:val="nil"/>
              <w:bottom w:val="nil"/>
              <w:right w:val="nil"/>
            </w:tcBorders>
            <w:shd w:val="clear" w:color="000000" w:fill="FFFFFF"/>
            <w:vAlign w:val="center"/>
            <w:hideMark/>
          </w:tcPr>
          <w:p w14:paraId="647F42D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0133A96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35F71EA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7.89%</w:t>
            </w:r>
          </w:p>
        </w:tc>
        <w:tc>
          <w:tcPr>
            <w:tcW w:w="630" w:type="dxa"/>
            <w:tcBorders>
              <w:top w:val="nil"/>
              <w:left w:val="nil"/>
              <w:bottom w:val="nil"/>
              <w:right w:val="nil"/>
            </w:tcBorders>
            <w:shd w:val="clear" w:color="000000" w:fill="FFFFFF"/>
            <w:vAlign w:val="center"/>
            <w:hideMark/>
          </w:tcPr>
          <w:p w14:paraId="645FA9A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44FC982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2965EF4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13.16%</w:t>
            </w:r>
          </w:p>
        </w:tc>
        <w:tc>
          <w:tcPr>
            <w:tcW w:w="630" w:type="dxa"/>
            <w:tcBorders>
              <w:top w:val="nil"/>
              <w:left w:val="nil"/>
              <w:bottom w:val="nil"/>
              <w:right w:val="nil"/>
            </w:tcBorders>
            <w:shd w:val="clear" w:color="000000" w:fill="FFFFFF"/>
            <w:vAlign w:val="center"/>
            <w:hideMark/>
          </w:tcPr>
          <w:p w14:paraId="4698575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5D5BB6C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22804BD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6.98%</w:t>
            </w:r>
          </w:p>
        </w:tc>
        <w:tc>
          <w:tcPr>
            <w:tcW w:w="630" w:type="dxa"/>
            <w:tcBorders>
              <w:top w:val="nil"/>
              <w:left w:val="nil"/>
              <w:bottom w:val="nil"/>
              <w:right w:val="nil"/>
            </w:tcBorders>
            <w:shd w:val="clear" w:color="000000" w:fill="FFFFFF"/>
            <w:vAlign w:val="center"/>
            <w:hideMark/>
          </w:tcPr>
          <w:p w14:paraId="2EEA0C2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63E15C4E"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vAlign w:val="center"/>
            <w:hideMark/>
          </w:tcPr>
          <w:p w14:paraId="579F0D4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0.00%</w:t>
            </w:r>
          </w:p>
        </w:tc>
        <w:tc>
          <w:tcPr>
            <w:tcW w:w="570" w:type="dxa"/>
            <w:tcBorders>
              <w:top w:val="nil"/>
              <w:left w:val="nil"/>
              <w:bottom w:val="nil"/>
              <w:right w:val="nil"/>
            </w:tcBorders>
            <w:shd w:val="clear" w:color="000000" w:fill="FFFFFF"/>
            <w:vAlign w:val="center"/>
            <w:hideMark/>
          </w:tcPr>
          <w:p w14:paraId="0BCC463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482CC0C4" w14:textId="77777777" w:rsidTr="007A4FDC">
        <w:trPr>
          <w:trHeight w:val="315"/>
        </w:trPr>
        <w:tc>
          <w:tcPr>
            <w:tcW w:w="1530" w:type="dxa"/>
            <w:tcBorders>
              <w:top w:val="nil"/>
              <w:left w:val="nil"/>
              <w:bottom w:val="nil"/>
              <w:right w:val="nil"/>
            </w:tcBorders>
            <w:shd w:val="clear" w:color="000000" w:fill="FFFFFF"/>
            <w:vAlign w:val="center"/>
            <w:hideMark/>
          </w:tcPr>
          <w:p w14:paraId="3782B0EF"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  Missing</w:t>
            </w:r>
          </w:p>
        </w:tc>
        <w:tc>
          <w:tcPr>
            <w:tcW w:w="900" w:type="dxa"/>
            <w:tcBorders>
              <w:top w:val="nil"/>
              <w:left w:val="nil"/>
              <w:bottom w:val="nil"/>
              <w:right w:val="nil"/>
            </w:tcBorders>
            <w:shd w:val="clear" w:color="000000" w:fill="FFFFFF"/>
            <w:vAlign w:val="center"/>
            <w:hideMark/>
          </w:tcPr>
          <w:p w14:paraId="2BCA821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0.00%</w:t>
            </w:r>
          </w:p>
        </w:tc>
        <w:tc>
          <w:tcPr>
            <w:tcW w:w="540" w:type="dxa"/>
            <w:tcBorders>
              <w:top w:val="nil"/>
              <w:left w:val="nil"/>
              <w:bottom w:val="nil"/>
              <w:right w:val="nil"/>
            </w:tcBorders>
            <w:shd w:val="clear" w:color="000000" w:fill="FFFFFF"/>
            <w:vAlign w:val="center"/>
            <w:hideMark/>
          </w:tcPr>
          <w:p w14:paraId="12ED67D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38B5D23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324E4E6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13.16%</w:t>
            </w:r>
          </w:p>
        </w:tc>
        <w:tc>
          <w:tcPr>
            <w:tcW w:w="630" w:type="dxa"/>
            <w:tcBorders>
              <w:top w:val="nil"/>
              <w:left w:val="nil"/>
              <w:bottom w:val="nil"/>
              <w:right w:val="nil"/>
            </w:tcBorders>
            <w:shd w:val="clear" w:color="000000" w:fill="FFFFFF"/>
            <w:vAlign w:val="center"/>
            <w:hideMark/>
          </w:tcPr>
          <w:p w14:paraId="0123087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noWrap/>
            <w:vAlign w:val="center"/>
            <w:hideMark/>
          </w:tcPr>
          <w:p w14:paraId="3808431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3002103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10.53%</w:t>
            </w:r>
          </w:p>
        </w:tc>
        <w:tc>
          <w:tcPr>
            <w:tcW w:w="630" w:type="dxa"/>
            <w:tcBorders>
              <w:top w:val="nil"/>
              <w:left w:val="nil"/>
              <w:bottom w:val="nil"/>
              <w:right w:val="nil"/>
            </w:tcBorders>
            <w:shd w:val="clear" w:color="000000" w:fill="FFFFFF"/>
            <w:vAlign w:val="center"/>
            <w:hideMark/>
          </w:tcPr>
          <w:p w14:paraId="5A33D00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70" w:type="dxa"/>
            <w:tcBorders>
              <w:top w:val="nil"/>
              <w:left w:val="nil"/>
              <w:bottom w:val="nil"/>
              <w:right w:val="nil"/>
            </w:tcBorders>
            <w:shd w:val="clear" w:color="000000" w:fill="FFFFFF"/>
            <w:vAlign w:val="center"/>
            <w:hideMark/>
          </w:tcPr>
          <w:p w14:paraId="10C0D7D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5126170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11.63%</w:t>
            </w:r>
          </w:p>
        </w:tc>
        <w:tc>
          <w:tcPr>
            <w:tcW w:w="630" w:type="dxa"/>
            <w:tcBorders>
              <w:top w:val="nil"/>
              <w:left w:val="nil"/>
              <w:bottom w:val="nil"/>
              <w:right w:val="nil"/>
            </w:tcBorders>
            <w:shd w:val="clear" w:color="000000" w:fill="FFFFFF"/>
            <w:vAlign w:val="center"/>
            <w:hideMark/>
          </w:tcPr>
          <w:p w14:paraId="3D4DFD9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c>
          <w:tcPr>
            <w:tcW w:w="259" w:type="dxa"/>
            <w:tcBorders>
              <w:top w:val="nil"/>
              <w:left w:val="nil"/>
              <w:bottom w:val="nil"/>
              <w:right w:val="nil"/>
            </w:tcBorders>
            <w:shd w:val="clear" w:color="000000" w:fill="FFFFFF"/>
            <w:noWrap/>
            <w:vAlign w:val="center"/>
            <w:hideMark/>
          </w:tcPr>
          <w:p w14:paraId="7405B34F"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vAlign w:val="center"/>
            <w:hideMark/>
          </w:tcPr>
          <w:p w14:paraId="19BCE5C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21.43%</w:t>
            </w:r>
          </w:p>
        </w:tc>
        <w:tc>
          <w:tcPr>
            <w:tcW w:w="570" w:type="dxa"/>
            <w:tcBorders>
              <w:top w:val="nil"/>
              <w:left w:val="nil"/>
              <w:bottom w:val="nil"/>
              <w:right w:val="nil"/>
            </w:tcBorders>
            <w:shd w:val="clear" w:color="000000" w:fill="FFFFFF"/>
            <w:vAlign w:val="center"/>
            <w:hideMark/>
          </w:tcPr>
          <w:p w14:paraId="7EC78B0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w:t>
            </w:r>
          </w:p>
        </w:tc>
      </w:tr>
      <w:tr w:rsidR="006C255B" w:rsidRPr="000A7C06" w14:paraId="0B9E700E" w14:textId="77777777" w:rsidTr="007A4FDC">
        <w:trPr>
          <w:trHeight w:val="315"/>
        </w:trPr>
        <w:tc>
          <w:tcPr>
            <w:tcW w:w="1530" w:type="dxa"/>
            <w:tcBorders>
              <w:top w:val="nil"/>
              <w:left w:val="nil"/>
              <w:bottom w:val="nil"/>
              <w:right w:val="nil"/>
            </w:tcBorders>
            <w:shd w:val="clear" w:color="000000" w:fill="FFFFFF"/>
            <w:vAlign w:val="center"/>
            <w:hideMark/>
          </w:tcPr>
          <w:p w14:paraId="77EBEE8D"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Offense gravity score</w:t>
            </w:r>
          </w:p>
        </w:tc>
        <w:tc>
          <w:tcPr>
            <w:tcW w:w="900" w:type="dxa"/>
            <w:tcBorders>
              <w:top w:val="nil"/>
              <w:left w:val="nil"/>
              <w:bottom w:val="nil"/>
              <w:right w:val="nil"/>
            </w:tcBorders>
            <w:shd w:val="clear" w:color="000000" w:fill="FFFFFF"/>
            <w:vAlign w:val="center"/>
            <w:hideMark/>
          </w:tcPr>
          <w:p w14:paraId="312B7EC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12.29</w:t>
            </w:r>
          </w:p>
        </w:tc>
        <w:tc>
          <w:tcPr>
            <w:tcW w:w="540" w:type="dxa"/>
            <w:tcBorders>
              <w:top w:val="nil"/>
              <w:left w:val="nil"/>
              <w:bottom w:val="nil"/>
              <w:right w:val="nil"/>
            </w:tcBorders>
            <w:shd w:val="clear" w:color="000000" w:fill="FFFFFF"/>
            <w:vAlign w:val="center"/>
            <w:hideMark/>
          </w:tcPr>
          <w:p w14:paraId="6CAB4CF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4.3</w:t>
            </w:r>
          </w:p>
        </w:tc>
        <w:tc>
          <w:tcPr>
            <w:tcW w:w="270" w:type="dxa"/>
            <w:tcBorders>
              <w:top w:val="nil"/>
              <w:left w:val="nil"/>
              <w:bottom w:val="nil"/>
              <w:right w:val="nil"/>
            </w:tcBorders>
            <w:shd w:val="clear" w:color="000000" w:fill="FFFFFF"/>
            <w:noWrap/>
            <w:vAlign w:val="center"/>
            <w:hideMark/>
          </w:tcPr>
          <w:p w14:paraId="02B4942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64A519F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8.8</w:t>
            </w:r>
          </w:p>
        </w:tc>
        <w:tc>
          <w:tcPr>
            <w:tcW w:w="630" w:type="dxa"/>
            <w:tcBorders>
              <w:top w:val="nil"/>
              <w:left w:val="nil"/>
              <w:bottom w:val="nil"/>
              <w:right w:val="nil"/>
            </w:tcBorders>
            <w:shd w:val="clear" w:color="000000" w:fill="FFFFFF"/>
            <w:vAlign w:val="center"/>
            <w:hideMark/>
          </w:tcPr>
          <w:p w14:paraId="2CE1617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4.55</w:t>
            </w:r>
          </w:p>
        </w:tc>
        <w:tc>
          <w:tcPr>
            <w:tcW w:w="270" w:type="dxa"/>
            <w:tcBorders>
              <w:top w:val="nil"/>
              <w:left w:val="nil"/>
              <w:bottom w:val="nil"/>
              <w:right w:val="nil"/>
            </w:tcBorders>
            <w:shd w:val="clear" w:color="000000" w:fill="FFFFFF"/>
            <w:noWrap/>
            <w:vAlign w:val="center"/>
            <w:hideMark/>
          </w:tcPr>
          <w:p w14:paraId="5D63CE3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58EB0D9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6.94</w:t>
            </w:r>
          </w:p>
        </w:tc>
        <w:tc>
          <w:tcPr>
            <w:tcW w:w="630" w:type="dxa"/>
            <w:tcBorders>
              <w:top w:val="nil"/>
              <w:left w:val="nil"/>
              <w:bottom w:val="nil"/>
              <w:right w:val="nil"/>
            </w:tcBorders>
            <w:shd w:val="clear" w:color="000000" w:fill="FFFFFF"/>
            <w:vAlign w:val="center"/>
            <w:hideMark/>
          </w:tcPr>
          <w:p w14:paraId="4C752C2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4.08</w:t>
            </w:r>
          </w:p>
        </w:tc>
        <w:tc>
          <w:tcPr>
            <w:tcW w:w="270" w:type="dxa"/>
            <w:tcBorders>
              <w:top w:val="nil"/>
              <w:left w:val="nil"/>
              <w:bottom w:val="nil"/>
              <w:right w:val="nil"/>
            </w:tcBorders>
            <w:shd w:val="clear" w:color="000000" w:fill="FFFFFF"/>
            <w:vAlign w:val="center"/>
            <w:hideMark/>
          </w:tcPr>
          <w:p w14:paraId="462AB26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F0AC6A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7.51</w:t>
            </w:r>
          </w:p>
        </w:tc>
        <w:tc>
          <w:tcPr>
            <w:tcW w:w="630" w:type="dxa"/>
            <w:tcBorders>
              <w:top w:val="nil"/>
              <w:left w:val="nil"/>
              <w:bottom w:val="nil"/>
              <w:right w:val="nil"/>
            </w:tcBorders>
            <w:shd w:val="clear" w:color="000000" w:fill="FFFFFF"/>
            <w:vAlign w:val="center"/>
            <w:hideMark/>
          </w:tcPr>
          <w:p w14:paraId="0B74A99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4.13</w:t>
            </w:r>
          </w:p>
        </w:tc>
        <w:tc>
          <w:tcPr>
            <w:tcW w:w="259" w:type="dxa"/>
            <w:tcBorders>
              <w:top w:val="nil"/>
              <w:left w:val="nil"/>
              <w:bottom w:val="nil"/>
              <w:right w:val="nil"/>
            </w:tcBorders>
            <w:shd w:val="clear" w:color="000000" w:fill="FFFFFF"/>
            <w:vAlign w:val="center"/>
            <w:hideMark/>
          </w:tcPr>
          <w:p w14:paraId="159B28D4"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vAlign w:val="center"/>
            <w:hideMark/>
          </w:tcPr>
          <w:p w14:paraId="7C7A031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5.57</w:t>
            </w:r>
          </w:p>
        </w:tc>
        <w:tc>
          <w:tcPr>
            <w:tcW w:w="570" w:type="dxa"/>
            <w:tcBorders>
              <w:top w:val="nil"/>
              <w:left w:val="nil"/>
              <w:bottom w:val="nil"/>
              <w:right w:val="nil"/>
            </w:tcBorders>
            <w:shd w:val="clear" w:color="000000" w:fill="FFFFFF"/>
            <w:vAlign w:val="center"/>
            <w:hideMark/>
          </w:tcPr>
          <w:p w14:paraId="6FD64EE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2.62</w:t>
            </w:r>
          </w:p>
        </w:tc>
      </w:tr>
      <w:tr w:rsidR="006C255B" w:rsidRPr="000A7C06" w14:paraId="55A8F94E" w14:textId="77777777" w:rsidTr="007A4FDC">
        <w:trPr>
          <w:trHeight w:val="315"/>
        </w:trPr>
        <w:tc>
          <w:tcPr>
            <w:tcW w:w="1530" w:type="dxa"/>
            <w:tcBorders>
              <w:top w:val="nil"/>
              <w:left w:val="nil"/>
              <w:bottom w:val="nil"/>
              <w:right w:val="nil"/>
            </w:tcBorders>
            <w:shd w:val="clear" w:color="000000" w:fill="FFFFFF"/>
            <w:vAlign w:val="center"/>
            <w:hideMark/>
          </w:tcPr>
          <w:p w14:paraId="583D851A"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Age (years)</w:t>
            </w:r>
          </w:p>
        </w:tc>
        <w:tc>
          <w:tcPr>
            <w:tcW w:w="900" w:type="dxa"/>
            <w:tcBorders>
              <w:top w:val="nil"/>
              <w:left w:val="nil"/>
              <w:bottom w:val="nil"/>
              <w:right w:val="nil"/>
            </w:tcBorders>
            <w:shd w:val="clear" w:color="000000" w:fill="FFFFFF"/>
            <w:vAlign w:val="center"/>
            <w:hideMark/>
          </w:tcPr>
          <w:p w14:paraId="4B28233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47.08</w:t>
            </w:r>
          </w:p>
        </w:tc>
        <w:tc>
          <w:tcPr>
            <w:tcW w:w="540" w:type="dxa"/>
            <w:tcBorders>
              <w:top w:val="nil"/>
              <w:left w:val="nil"/>
              <w:bottom w:val="nil"/>
              <w:right w:val="nil"/>
            </w:tcBorders>
            <w:shd w:val="clear" w:color="000000" w:fill="FFFFFF"/>
            <w:vAlign w:val="center"/>
            <w:hideMark/>
          </w:tcPr>
          <w:p w14:paraId="5DDCD17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12</w:t>
            </w:r>
          </w:p>
        </w:tc>
        <w:tc>
          <w:tcPr>
            <w:tcW w:w="270" w:type="dxa"/>
            <w:tcBorders>
              <w:top w:val="nil"/>
              <w:left w:val="nil"/>
              <w:bottom w:val="nil"/>
              <w:right w:val="nil"/>
            </w:tcBorders>
            <w:shd w:val="clear" w:color="000000" w:fill="FFFFFF"/>
            <w:noWrap/>
            <w:vAlign w:val="center"/>
            <w:hideMark/>
          </w:tcPr>
          <w:p w14:paraId="7B5CE186"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3544D85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43.74</w:t>
            </w:r>
          </w:p>
        </w:tc>
        <w:tc>
          <w:tcPr>
            <w:tcW w:w="630" w:type="dxa"/>
            <w:tcBorders>
              <w:top w:val="nil"/>
              <w:left w:val="nil"/>
              <w:bottom w:val="nil"/>
              <w:right w:val="nil"/>
            </w:tcBorders>
            <w:shd w:val="clear" w:color="000000" w:fill="FFFFFF"/>
            <w:vAlign w:val="center"/>
            <w:hideMark/>
          </w:tcPr>
          <w:p w14:paraId="2D2BD1BA" w14:textId="77777777" w:rsidR="006B3E58" w:rsidRPr="000A7C06" w:rsidRDefault="006B3E58" w:rsidP="006B3E58">
            <w:pPr>
              <w:spacing w:line="240" w:lineRule="auto"/>
              <w:jc w:val="right"/>
              <w:rPr>
                <w:rFonts w:eastAsia="Times New Roman" w:cs="Times New Roman"/>
                <w:color w:val="000000"/>
                <w:sz w:val="20"/>
                <w:szCs w:val="20"/>
              </w:rPr>
            </w:pPr>
            <w:r w:rsidRPr="000A7C06">
              <w:rPr>
                <w:rFonts w:eastAsia="Times New Roman" w:cs="Times New Roman"/>
                <w:color w:val="000000"/>
                <w:sz w:val="20"/>
                <w:szCs w:val="20"/>
              </w:rPr>
              <w:t>11.3</w:t>
            </w:r>
          </w:p>
        </w:tc>
        <w:tc>
          <w:tcPr>
            <w:tcW w:w="270" w:type="dxa"/>
            <w:tcBorders>
              <w:top w:val="nil"/>
              <w:left w:val="nil"/>
              <w:bottom w:val="nil"/>
              <w:right w:val="nil"/>
            </w:tcBorders>
            <w:shd w:val="clear" w:color="000000" w:fill="FFFFFF"/>
            <w:noWrap/>
            <w:vAlign w:val="center"/>
            <w:hideMark/>
          </w:tcPr>
          <w:p w14:paraId="0519A3C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vAlign w:val="center"/>
            <w:hideMark/>
          </w:tcPr>
          <w:p w14:paraId="43AD405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37.82</w:t>
            </w:r>
          </w:p>
        </w:tc>
        <w:tc>
          <w:tcPr>
            <w:tcW w:w="630" w:type="dxa"/>
            <w:tcBorders>
              <w:top w:val="nil"/>
              <w:left w:val="nil"/>
              <w:bottom w:val="nil"/>
              <w:right w:val="nil"/>
            </w:tcBorders>
            <w:shd w:val="clear" w:color="000000" w:fill="FFFFFF"/>
            <w:vAlign w:val="center"/>
            <w:hideMark/>
          </w:tcPr>
          <w:p w14:paraId="688A402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9.95</w:t>
            </w:r>
          </w:p>
        </w:tc>
        <w:tc>
          <w:tcPr>
            <w:tcW w:w="270" w:type="dxa"/>
            <w:tcBorders>
              <w:top w:val="nil"/>
              <w:left w:val="nil"/>
              <w:bottom w:val="nil"/>
              <w:right w:val="nil"/>
            </w:tcBorders>
            <w:shd w:val="clear" w:color="000000" w:fill="FFFFFF"/>
            <w:vAlign w:val="center"/>
            <w:hideMark/>
          </w:tcPr>
          <w:p w14:paraId="1ACB8C8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0DDBF78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42.45</w:t>
            </w:r>
          </w:p>
        </w:tc>
        <w:tc>
          <w:tcPr>
            <w:tcW w:w="630" w:type="dxa"/>
            <w:tcBorders>
              <w:top w:val="nil"/>
              <w:left w:val="nil"/>
              <w:bottom w:val="nil"/>
              <w:right w:val="nil"/>
            </w:tcBorders>
            <w:shd w:val="clear" w:color="000000" w:fill="FFFFFF"/>
            <w:vAlign w:val="center"/>
            <w:hideMark/>
          </w:tcPr>
          <w:p w14:paraId="4AB2FA7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10.7</w:t>
            </w:r>
          </w:p>
        </w:tc>
        <w:tc>
          <w:tcPr>
            <w:tcW w:w="259" w:type="dxa"/>
            <w:tcBorders>
              <w:top w:val="nil"/>
              <w:left w:val="nil"/>
              <w:bottom w:val="nil"/>
              <w:right w:val="nil"/>
            </w:tcBorders>
            <w:shd w:val="clear" w:color="000000" w:fill="FFFFFF"/>
            <w:vAlign w:val="center"/>
            <w:hideMark/>
          </w:tcPr>
          <w:p w14:paraId="4F405318"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vAlign w:val="center"/>
            <w:hideMark/>
          </w:tcPr>
          <w:p w14:paraId="71C096B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43.53</w:t>
            </w:r>
          </w:p>
        </w:tc>
        <w:tc>
          <w:tcPr>
            <w:tcW w:w="570" w:type="dxa"/>
            <w:tcBorders>
              <w:top w:val="nil"/>
              <w:left w:val="nil"/>
              <w:bottom w:val="nil"/>
              <w:right w:val="nil"/>
            </w:tcBorders>
            <w:shd w:val="clear" w:color="000000" w:fill="FFFFFF"/>
            <w:vAlign w:val="center"/>
            <w:hideMark/>
          </w:tcPr>
          <w:p w14:paraId="0462998A"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9.33</w:t>
            </w:r>
          </w:p>
        </w:tc>
      </w:tr>
      <w:tr w:rsidR="006C255B" w:rsidRPr="000A7C06" w14:paraId="0C7D05E1" w14:textId="77777777" w:rsidTr="007A4FDC">
        <w:trPr>
          <w:trHeight w:val="315"/>
        </w:trPr>
        <w:tc>
          <w:tcPr>
            <w:tcW w:w="1530" w:type="dxa"/>
            <w:tcBorders>
              <w:top w:val="nil"/>
              <w:left w:val="nil"/>
              <w:bottom w:val="nil"/>
              <w:right w:val="nil"/>
            </w:tcBorders>
            <w:shd w:val="clear" w:color="000000" w:fill="FFFFFF"/>
            <w:vAlign w:val="center"/>
            <w:hideMark/>
          </w:tcPr>
          <w:p w14:paraId="4E710BB0"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Time in prison (years)</w:t>
            </w:r>
          </w:p>
        </w:tc>
        <w:tc>
          <w:tcPr>
            <w:tcW w:w="900" w:type="dxa"/>
            <w:tcBorders>
              <w:top w:val="nil"/>
              <w:left w:val="nil"/>
              <w:bottom w:val="nil"/>
              <w:right w:val="nil"/>
            </w:tcBorders>
            <w:shd w:val="clear" w:color="000000" w:fill="FFFFFF"/>
            <w:vAlign w:val="center"/>
            <w:hideMark/>
          </w:tcPr>
          <w:p w14:paraId="61DA3D6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11.2</w:t>
            </w:r>
          </w:p>
        </w:tc>
        <w:tc>
          <w:tcPr>
            <w:tcW w:w="540" w:type="dxa"/>
            <w:tcBorders>
              <w:top w:val="nil"/>
              <w:left w:val="nil"/>
              <w:bottom w:val="nil"/>
              <w:right w:val="nil"/>
            </w:tcBorders>
            <w:shd w:val="clear" w:color="000000" w:fill="FFFFFF"/>
            <w:vAlign w:val="center"/>
            <w:hideMark/>
          </w:tcPr>
          <w:p w14:paraId="0C7333F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11</w:t>
            </w:r>
          </w:p>
        </w:tc>
        <w:tc>
          <w:tcPr>
            <w:tcW w:w="270" w:type="dxa"/>
            <w:tcBorders>
              <w:top w:val="nil"/>
              <w:left w:val="nil"/>
              <w:bottom w:val="nil"/>
              <w:right w:val="nil"/>
            </w:tcBorders>
            <w:shd w:val="clear" w:color="000000" w:fill="FFFFFF"/>
            <w:noWrap/>
            <w:vAlign w:val="center"/>
            <w:hideMark/>
          </w:tcPr>
          <w:p w14:paraId="3A9CB15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84C3C0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4.34</w:t>
            </w:r>
          </w:p>
        </w:tc>
        <w:tc>
          <w:tcPr>
            <w:tcW w:w="630" w:type="dxa"/>
            <w:tcBorders>
              <w:top w:val="nil"/>
              <w:left w:val="nil"/>
              <w:bottom w:val="nil"/>
              <w:right w:val="nil"/>
            </w:tcBorders>
            <w:shd w:val="clear" w:color="000000" w:fill="FFFFFF"/>
            <w:noWrap/>
            <w:vAlign w:val="center"/>
            <w:hideMark/>
          </w:tcPr>
          <w:p w14:paraId="0FA8E30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5.87</w:t>
            </w:r>
          </w:p>
        </w:tc>
        <w:tc>
          <w:tcPr>
            <w:tcW w:w="270" w:type="dxa"/>
            <w:tcBorders>
              <w:top w:val="nil"/>
              <w:left w:val="nil"/>
              <w:bottom w:val="nil"/>
              <w:right w:val="nil"/>
            </w:tcBorders>
            <w:shd w:val="clear" w:color="000000" w:fill="FFFFFF"/>
            <w:noWrap/>
            <w:vAlign w:val="center"/>
            <w:hideMark/>
          </w:tcPr>
          <w:p w14:paraId="5D1ADD6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AADCD41"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3.16</w:t>
            </w:r>
          </w:p>
        </w:tc>
        <w:tc>
          <w:tcPr>
            <w:tcW w:w="630" w:type="dxa"/>
            <w:tcBorders>
              <w:top w:val="nil"/>
              <w:left w:val="nil"/>
              <w:bottom w:val="nil"/>
              <w:right w:val="nil"/>
            </w:tcBorders>
            <w:shd w:val="clear" w:color="000000" w:fill="FFFFFF"/>
            <w:noWrap/>
            <w:vAlign w:val="center"/>
            <w:hideMark/>
          </w:tcPr>
          <w:p w14:paraId="28A81FF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6.71</w:t>
            </w:r>
          </w:p>
        </w:tc>
        <w:tc>
          <w:tcPr>
            <w:tcW w:w="270" w:type="dxa"/>
            <w:tcBorders>
              <w:top w:val="nil"/>
              <w:left w:val="nil"/>
              <w:bottom w:val="nil"/>
              <w:right w:val="nil"/>
            </w:tcBorders>
            <w:shd w:val="clear" w:color="000000" w:fill="FFFFFF"/>
            <w:noWrap/>
            <w:vAlign w:val="center"/>
            <w:hideMark/>
          </w:tcPr>
          <w:p w14:paraId="54DF090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0B6ABB53"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4.49</w:t>
            </w:r>
          </w:p>
        </w:tc>
        <w:tc>
          <w:tcPr>
            <w:tcW w:w="630" w:type="dxa"/>
            <w:tcBorders>
              <w:top w:val="nil"/>
              <w:left w:val="nil"/>
              <w:bottom w:val="nil"/>
              <w:right w:val="nil"/>
            </w:tcBorders>
            <w:shd w:val="clear" w:color="000000" w:fill="FFFFFF"/>
            <w:noWrap/>
            <w:vAlign w:val="center"/>
            <w:hideMark/>
          </w:tcPr>
          <w:p w14:paraId="18A107D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6.66</w:t>
            </w:r>
          </w:p>
        </w:tc>
        <w:tc>
          <w:tcPr>
            <w:tcW w:w="259" w:type="dxa"/>
            <w:tcBorders>
              <w:top w:val="nil"/>
              <w:left w:val="nil"/>
              <w:bottom w:val="nil"/>
              <w:right w:val="nil"/>
            </w:tcBorders>
            <w:shd w:val="clear" w:color="000000" w:fill="FFFFFF"/>
            <w:noWrap/>
            <w:vAlign w:val="center"/>
            <w:hideMark/>
          </w:tcPr>
          <w:p w14:paraId="74B68EC8"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nil"/>
              <w:right w:val="nil"/>
            </w:tcBorders>
            <w:shd w:val="clear" w:color="000000" w:fill="FFFFFF"/>
            <w:noWrap/>
            <w:vAlign w:val="center"/>
            <w:hideMark/>
          </w:tcPr>
          <w:p w14:paraId="1A907A08"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1.47</w:t>
            </w:r>
          </w:p>
        </w:tc>
        <w:tc>
          <w:tcPr>
            <w:tcW w:w="570" w:type="dxa"/>
            <w:tcBorders>
              <w:top w:val="nil"/>
              <w:left w:val="nil"/>
              <w:bottom w:val="nil"/>
              <w:right w:val="nil"/>
            </w:tcBorders>
            <w:shd w:val="clear" w:color="000000" w:fill="FFFFFF"/>
            <w:noWrap/>
            <w:vAlign w:val="center"/>
            <w:hideMark/>
          </w:tcPr>
          <w:p w14:paraId="33A6439F"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1.87</w:t>
            </w:r>
          </w:p>
        </w:tc>
      </w:tr>
      <w:tr w:rsidR="006C255B" w:rsidRPr="000A7C06" w14:paraId="49BF3CBF" w14:textId="77777777" w:rsidTr="007A4FDC">
        <w:trPr>
          <w:trHeight w:val="330"/>
        </w:trPr>
        <w:tc>
          <w:tcPr>
            <w:tcW w:w="1530" w:type="dxa"/>
            <w:tcBorders>
              <w:top w:val="nil"/>
              <w:left w:val="nil"/>
              <w:bottom w:val="single" w:sz="8" w:space="0" w:color="auto"/>
              <w:right w:val="nil"/>
            </w:tcBorders>
            <w:shd w:val="clear" w:color="000000" w:fill="FFFFFF"/>
            <w:vAlign w:val="center"/>
            <w:hideMark/>
          </w:tcPr>
          <w:p w14:paraId="3357376B"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Time on unit (years)</w:t>
            </w:r>
          </w:p>
        </w:tc>
        <w:tc>
          <w:tcPr>
            <w:tcW w:w="900" w:type="dxa"/>
            <w:tcBorders>
              <w:top w:val="nil"/>
              <w:left w:val="nil"/>
              <w:bottom w:val="single" w:sz="8" w:space="0" w:color="auto"/>
              <w:right w:val="nil"/>
            </w:tcBorders>
            <w:shd w:val="clear" w:color="000000" w:fill="FFFFFF"/>
            <w:vAlign w:val="center"/>
            <w:hideMark/>
          </w:tcPr>
          <w:p w14:paraId="33F5E3EE"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3.71</w:t>
            </w:r>
          </w:p>
        </w:tc>
        <w:tc>
          <w:tcPr>
            <w:tcW w:w="540" w:type="dxa"/>
            <w:tcBorders>
              <w:top w:val="nil"/>
              <w:left w:val="nil"/>
              <w:bottom w:val="single" w:sz="8" w:space="0" w:color="auto"/>
              <w:right w:val="nil"/>
            </w:tcBorders>
            <w:shd w:val="clear" w:color="000000" w:fill="FFFFFF"/>
            <w:vAlign w:val="center"/>
            <w:hideMark/>
          </w:tcPr>
          <w:p w14:paraId="7B35F60D"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3.9</w:t>
            </w:r>
          </w:p>
        </w:tc>
        <w:tc>
          <w:tcPr>
            <w:tcW w:w="270" w:type="dxa"/>
            <w:tcBorders>
              <w:top w:val="nil"/>
              <w:left w:val="nil"/>
              <w:bottom w:val="single" w:sz="8" w:space="0" w:color="auto"/>
              <w:right w:val="nil"/>
            </w:tcBorders>
            <w:shd w:val="clear" w:color="000000" w:fill="FFFFFF"/>
            <w:noWrap/>
            <w:vAlign w:val="center"/>
            <w:hideMark/>
          </w:tcPr>
          <w:p w14:paraId="602D53B2"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single" w:sz="8" w:space="0" w:color="auto"/>
              <w:right w:val="nil"/>
            </w:tcBorders>
            <w:shd w:val="clear" w:color="000000" w:fill="FFFFFF"/>
            <w:noWrap/>
            <w:vAlign w:val="center"/>
            <w:hideMark/>
          </w:tcPr>
          <w:p w14:paraId="45F0C0F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1.34</w:t>
            </w:r>
          </w:p>
        </w:tc>
        <w:tc>
          <w:tcPr>
            <w:tcW w:w="630" w:type="dxa"/>
            <w:tcBorders>
              <w:top w:val="nil"/>
              <w:left w:val="nil"/>
              <w:bottom w:val="single" w:sz="8" w:space="0" w:color="auto"/>
              <w:right w:val="nil"/>
            </w:tcBorders>
            <w:shd w:val="clear" w:color="000000" w:fill="FFFFFF"/>
            <w:noWrap/>
            <w:vAlign w:val="center"/>
            <w:hideMark/>
          </w:tcPr>
          <w:p w14:paraId="40285DE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1.99</w:t>
            </w:r>
          </w:p>
        </w:tc>
        <w:tc>
          <w:tcPr>
            <w:tcW w:w="270" w:type="dxa"/>
            <w:tcBorders>
              <w:top w:val="nil"/>
              <w:left w:val="nil"/>
              <w:bottom w:val="single" w:sz="8" w:space="0" w:color="auto"/>
              <w:right w:val="nil"/>
            </w:tcBorders>
            <w:shd w:val="clear" w:color="000000" w:fill="FFFFFF"/>
            <w:noWrap/>
            <w:vAlign w:val="center"/>
            <w:hideMark/>
          </w:tcPr>
          <w:p w14:paraId="67A78FBB"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single" w:sz="8" w:space="0" w:color="auto"/>
              <w:right w:val="nil"/>
            </w:tcBorders>
            <w:shd w:val="clear" w:color="000000" w:fill="FFFFFF"/>
            <w:noWrap/>
            <w:vAlign w:val="center"/>
            <w:hideMark/>
          </w:tcPr>
          <w:p w14:paraId="2241DBD7"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0.36</w:t>
            </w:r>
          </w:p>
        </w:tc>
        <w:tc>
          <w:tcPr>
            <w:tcW w:w="630" w:type="dxa"/>
            <w:tcBorders>
              <w:top w:val="nil"/>
              <w:left w:val="nil"/>
              <w:bottom w:val="single" w:sz="8" w:space="0" w:color="auto"/>
              <w:right w:val="nil"/>
            </w:tcBorders>
            <w:shd w:val="clear" w:color="000000" w:fill="FFFFFF"/>
            <w:noWrap/>
            <w:vAlign w:val="center"/>
            <w:hideMark/>
          </w:tcPr>
          <w:p w14:paraId="539B97F4"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1.09</w:t>
            </w:r>
          </w:p>
        </w:tc>
        <w:tc>
          <w:tcPr>
            <w:tcW w:w="270" w:type="dxa"/>
            <w:tcBorders>
              <w:top w:val="nil"/>
              <w:left w:val="nil"/>
              <w:bottom w:val="single" w:sz="8" w:space="0" w:color="auto"/>
              <w:right w:val="nil"/>
            </w:tcBorders>
            <w:shd w:val="clear" w:color="000000" w:fill="FFFFFF"/>
            <w:noWrap/>
            <w:vAlign w:val="center"/>
            <w:hideMark/>
          </w:tcPr>
          <w:p w14:paraId="1321451C"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 </w:t>
            </w:r>
          </w:p>
        </w:tc>
        <w:tc>
          <w:tcPr>
            <w:tcW w:w="900" w:type="dxa"/>
            <w:tcBorders>
              <w:top w:val="nil"/>
              <w:left w:val="nil"/>
              <w:bottom w:val="single" w:sz="8" w:space="0" w:color="auto"/>
              <w:right w:val="nil"/>
            </w:tcBorders>
            <w:shd w:val="clear" w:color="000000" w:fill="FFFFFF"/>
            <w:noWrap/>
            <w:vAlign w:val="center"/>
            <w:hideMark/>
          </w:tcPr>
          <w:p w14:paraId="7E64F20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1.44</w:t>
            </w:r>
          </w:p>
        </w:tc>
        <w:tc>
          <w:tcPr>
            <w:tcW w:w="630" w:type="dxa"/>
            <w:tcBorders>
              <w:top w:val="nil"/>
              <w:left w:val="nil"/>
              <w:bottom w:val="single" w:sz="8" w:space="0" w:color="auto"/>
              <w:right w:val="nil"/>
            </w:tcBorders>
            <w:shd w:val="clear" w:color="000000" w:fill="FFFFFF"/>
            <w:noWrap/>
            <w:vAlign w:val="center"/>
            <w:hideMark/>
          </w:tcPr>
          <w:p w14:paraId="01A4D800"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2.82</w:t>
            </w:r>
          </w:p>
        </w:tc>
        <w:tc>
          <w:tcPr>
            <w:tcW w:w="259" w:type="dxa"/>
            <w:tcBorders>
              <w:top w:val="nil"/>
              <w:left w:val="nil"/>
              <w:bottom w:val="single" w:sz="8" w:space="0" w:color="auto"/>
              <w:right w:val="nil"/>
            </w:tcBorders>
            <w:shd w:val="clear" w:color="000000" w:fill="FFFFFF"/>
            <w:noWrap/>
            <w:vAlign w:val="center"/>
            <w:hideMark/>
          </w:tcPr>
          <w:p w14:paraId="2BFF1DFD" w14:textId="77777777"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w:t>
            </w:r>
          </w:p>
        </w:tc>
        <w:tc>
          <w:tcPr>
            <w:tcW w:w="860" w:type="dxa"/>
            <w:tcBorders>
              <w:top w:val="nil"/>
              <w:left w:val="nil"/>
              <w:bottom w:val="single" w:sz="8" w:space="0" w:color="auto"/>
              <w:right w:val="nil"/>
            </w:tcBorders>
            <w:shd w:val="clear" w:color="000000" w:fill="FFFFFF"/>
            <w:noWrap/>
            <w:vAlign w:val="center"/>
            <w:hideMark/>
          </w:tcPr>
          <w:p w14:paraId="752E5045"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0.43</w:t>
            </w:r>
          </w:p>
        </w:tc>
        <w:tc>
          <w:tcPr>
            <w:tcW w:w="570" w:type="dxa"/>
            <w:tcBorders>
              <w:top w:val="nil"/>
              <w:left w:val="nil"/>
              <w:bottom w:val="single" w:sz="8" w:space="0" w:color="auto"/>
              <w:right w:val="nil"/>
            </w:tcBorders>
            <w:shd w:val="clear" w:color="000000" w:fill="FFFFFF"/>
            <w:noWrap/>
            <w:vAlign w:val="center"/>
            <w:hideMark/>
          </w:tcPr>
          <w:p w14:paraId="0CCA58D9" w14:textId="77777777" w:rsidR="006B3E58" w:rsidRPr="000A7C06" w:rsidRDefault="006B3E58" w:rsidP="006B3E58">
            <w:pPr>
              <w:spacing w:line="240" w:lineRule="auto"/>
              <w:jc w:val="center"/>
              <w:rPr>
                <w:rFonts w:eastAsia="Times New Roman" w:cs="Times New Roman"/>
                <w:color w:val="000000"/>
                <w:sz w:val="20"/>
                <w:szCs w:val="20"/>
              </w:rPr>
            </w:pPr>
            <w:r w:rsidRPr="000A7C06">
              <w:rPr>
                <w:rFonts w:eastAsia="Times New Roman" w:cs="Times New Roman"/>
                <w:color w:val="000000"/>
                <w:sz w:val="20"/>
                <w:szCs w:val="20"/>
              </w:rPr>
              <w:t>0.5</w:t>
            </w:r>
          </w:p>
        </w:tc>
      </w:tr>
      <w:tr w:rsidR="006B3E58" w:rsidRPr="000A7C06" w14:paraId="7B3577BF" w14:textId="77777777" w:rsidTr="007A4FDC">
        <w:trPr>
          <w:trHeight w:val="645"/>
        </w:trPr>
        <w:tc>
          <w:tcPr>
            <w:tcW w:w="10059" w:type="dxa"/>
            <w:gridSpan w:val="15"/>
            <w:tcBorders>
              <w:top w:val="single" w:sz="8" w:space="0" w:color="auto"/>
              <w:left w:val="nil"/>
              <w:bottom w:val="nil"/>
              <w:right w:val="nil"/>
            </w:tcBorders>
            <w:shd w:val="clear" w:color="000000" w:fill="FFFFFF"/>
            <w:hideMark/>
          </w:tcPr>
          <w:p w14:paraId="488A42E7" w14:textId="05F7B239" w:rsidR="006B3E58" w:rsidRPr="000A7C06" w:rsidRDefault="006B3E58" w:rsidP="006B3E58">
            <w:pPr>
              <w:spacing w:line="240" w:lineRule="auto"/>
              <w:rPr>
                <w:rFonts w:eastAsia="Times New Roman" w:cs="Times New Roman"/>
                <w:color w:val="000000"/>
                <w:sz w:val="20"/>
                <w:szCs w:val="20"/>
              </w:rPr>
            </w:pPr>
            <w:r w:rsidRPr="000A7C06">
              <w:rPr>
                <w:rFonts w:eastAsia="Times New Roman" w:cs="Times New Roman"/>
                <w:color w:val="000000"/>
                <w:sz w:val="20"/>
                <w:szCs w:val="20"/>
              </w:rPr>
              <w:t xml:space="preserve">Notes: </w:t>
            </w:r>
            <w:r w:rsidRPr="000A7C06">
              <w:rPr>
                <w:rFonts w:eastAsia="Times New Roman" w:cs="Times New Roman"/>
                <w:color w:val="000000"/>
                <w:sz w:val="20"/>
                <w:szCs w:val="20"/>
                <w:vertAlign w:val="superscript"/>
              </w:rPr>
              <w:t>a</w:t>
            </w:r>
            <w:r w:rsidRPr="000A7C06">
              <w:rPr>
                <w:rFonts w:eastAsia="Times New Roman" w:cs="Times New Roman"/>
                <w:color w:val="000000"/>
                <w:sz w:val="20"/>
                <w:szCs w:val="20"/>
              </w:rPr>
              <w:t xml:space="preserve"> Good Behavior-Minimum Prison,</w:t>
            </w:r>
            <w:r w:rsidRPr="000A7C06">
              <w:rPr>
                <w:rFonts w:eastAsia="Times New Roman" w:cs="Times New Roman"/>
                <w:color w:val="000000"/>
                <w:sz w:val="20"/>
                <w:szCs w:val="20"/>
                <w:vertAlign w:val="superscript"/>
              </w:rPr>
              <w:t xml:space="preserve"> b </w:t>
            </w:r>
            <w:r w:rsidRPr="000A7C06">
              <w:rPr>
                <w:rFonts w:eastAsia="Times New Roman" w:cs="Times New Roman"/>
                <w:color w:val="000000"/>
                <w:sz w:val="20"/>
                <w:szCs w:val="20"/>
              </w:rPr>
              <w:t xml:space="preserve">Good Behavior-Maximum Prison, </w:t>
            </w:r>
            <w:r w:rsidRPr="000A7C06">
              <w:rPr>
                <w:rFonts w:eastAsia="Times New Roman" w:cs="Times New Roman"/>
                <w:color w:val="000000"/>
                <w:sz w:val="20"/>
                <w:szCs w:val="20"/>
                <w:vertAlign w:val="superscript"/>
              </w:rPr>
              <w:t xml:space="preserve">c </w:t>
            </w:r>
            <w:r w:rsidRPr="000A7C06">
              <w:rPr>
                <w:rFonts w:eastAsia="Times New Roman" w:cs="Times New Roman"/>
                <w:color w:val="000000"/>
                <w:sz w:val="20"/>
                <w:szCs w:val="20"/>
              </w:rPr>
              <w:t xml:space="preserve">General Population-Maximum </w:t>
            </w:r>
            <w:proofErr w:type="gramStart"/>
            <w:r w:rsidRPr="000A7C06">
              <w:rPr>
                <w:rFonts w:eastAsia="Times New Roman" w:cs="Times New Roman"/>
                <w:color w:val="000000"/>
                <w:sz w:val="20"/>
                <w:szCs w:val="20"/>
              </w:rPr>
              <w:t xml:space="preserve">Prison, </w:t>
            </w:r>
            <w:r w:rsidR="00D1595E">
              <w:rPr>
                <w:rFonts w:eastAsia="Times New Roman" w:cs="Times New Roman"/>
                <w:color w:val="000000"/>
                <w:sz w:val="20"/>
                <w:szCs w:val="20"/>
              </w:rPr>
              <w:t xml:space="preserve">  </w:t>
            </w:r>
            <w:proofErr w:type="gramEnd"/>
            <w:r w:rsidR="00D1595E">
              <w:rPr>
                <w:rFonts w:eastAsia="Times New Roman" w:cs="Times New Roman"/>
                <w:color w:val="000000"/>
                <w:sz w:val="20"/>
                <w:szCs w:val="20"/>
              </w:rPr>
              <w:t xml:space="preserve">    </w:t>
            </w:r>
            <w:r w:rsidRPr="000A7C06">
              <w:rPr>
                <w:rFonts w:eastAsia="Times New Roman" w:cs="Times New Roman"/>
                <w:color w:val="000000"/>
                <w:sz w:val="20"/>
                <w:szCs w:val="20"/>
                <w:vertAlign w:val="superscript"/>
              </w:rPr>
              <w:t>d</w:t>
            </w:r>
            <w:r>
              <w:rPr>
                <w:rFonts w:eastAsia="Times New Roman" w:cs="Times New Roman"/>
                <w:color w:val="000000"/>
                <w:sz w:val="20"/>
                <w:szCs w:val="20"/>
                <w:vertAlign w:val="superscript"/>
              </w:rPr>
              <w:t xml:space="preserve"> </w:t>
            </w:r>
            <w:r w:rsidRPr="000A7C06">
              <w:rPr>
                <w:rFonts w:eastAsia="Times New Roman" w:cs="Times New Roman"/>
                <w:color w:val="000000"/>
                <w:sz w:val="20"/>
                <w:szCs w:val="20"/>
              </w:rPr>
              <w:t>Includes residents of "Other" race: N</w:t>
            </w:r>
            <w:r>
              <w:rPr>
                <w:rFonts w:eastAsia="Times New Roman" w:cs="Times New Roman"/>
                <w:color w:val="000000"/>
                <w:sz w:val="20"/>
                <w:szCs w:val="20"/>
              </w:rPr>
              <w:t>(</w:t>
            </w:r>
            <w:r w:rsidRPr="000A7C06">
              <w:rPr>
                <w:rFonts w:eastAsia="Times New Roman" w:cs="Times New Roman"/>
                <w:color w:val="000000"/>
                <w:sz w:val="20"/>
                <w:szCs w:val="20"/>
              </w:rPr>
              <w:t>unit 1</w:t>
            </w:r>
            <w:r>
              <w:rPr>
                <w:rFonts w:eastAsia="Times New Roman" w:cs="Times New Roman"/>
                <w:color w:val="000000"/>
                <w:sz w:val="20"/>
                <w:szCs w:val="20"/>
              </w:rPr>
              <w:t>)</w:t>
            </w:r>
            <w:r w:rsidRPr="000A7C06">
              <w:rPr>
                <w:rFonts w:eastAsia="Times New Roman" w:cs="Times New Roman"/>
                <w:color w:val="000000"/>
                <w:sz w:val="20"/>
                <w:szCs w:val="20"/>
              </w:rPr>
              <w:t>=0, N</w:t>
            </w:r>
            <w:r>
              <w:rPr>
                <w:rFonts w:eastAsia="Times New Roman" w:cs="Times New Roman"/>
                <w:color w:val="000000"/>
                <w:sz w:val="20"/>
                <w:szCs w:val="20"/>
              </w:rPr>
              <w:t>(</w:t>
            </w:r>
            <w:r w:rsidRPr="000A7C06">
              <w:rPr>
                <w:rFonts w:eastAsia="Times New Roman" w:cs="Times New Roman"/>
                <w:color w:val="000000"/>
                <w:sz w:val="20"/>
                <w:szCs w:val="20"/>
              </w:rPr>
              <w:t>unit 2</w:t>
            </w:r>
            <w:r>
              <w:rPr>
                <w:rFonts w:eastAsia="Times New Roman" w:cs="Times New Roman"/>
                <w:color w:val="000000"/>
                <w:sz w:val="20"/>
                <w:szCs w:val="20"/>
              </w:rPr>
              <w:t>)</w:t>
            </w:r>
            <w:r w:rsidRPr="000A7C06">
              <w:rPr>
                <w:rFonts w:eastAsia="Times New Roman" w:cs="Times New Roman"/>
                <w:color w:val="000000"/>
                <w:sz w:val="20"/>
                <w:szCs w:val="20"/>
              </w:rPr>
              <w:t>=1, N</w:t>
            </w:r>
            <w:r>
              <w:rPr>
                <w:rFonts w:eastAsia="Times New Roman" w:cs="Times New Roman"/>
                <w:color w:val="000000"/>
                <w:sz w:val="20"/>
                <w:szCs w:val="20"/>
              </w:rPr>
              <w:t>(</w:t>
            </w:r>
            <w:r w:rsidRPr="000A7C06">
              <w:rPr>
                <w:rFonts w:eastAsia="Times New Roman" w:cs="Times New Roman"/>
                <w:color w:val="000000"/>
                <w:sz w:val="20"/>
                <w:szCs w:val="20"/>
              </w:rPr>
              <w:t>unit 3</w:t>
            </w:r>
            <w:r>
              <w:rPr>
                <w:rFonts w:eastAsia="Times New Roman" w:cs="Times New Roman"/>
                <w:color w:val="000000"/>
                <w:sz w:val="20"/>
                <w:szCs w:val="20"/>
              </w:rPr>
              <w:t>)</w:t>
            </w:r>
            <w:r w:rsidRPr="000A7C06">
              <w:rPr>
                <w:rFonts w:eastAsia="Times New Roman" w:cs="Times New Roman"/>
                <w:color w:val="000000"/>
                <w:sz w:val="20"/>
                <w:szCs w:val="20"/>
              </w:rPr>
              <w:t>=1</w:t>
            </w:r>
          </w:p>
        </w:tc>
      </w:tr>
    </w:tbl>
    <w:p w14:paraId="6AEBBD05" w14:textId="6D8DD325" w:rsidR="00E478A7" w:rsidRDefault="00E478A7">
      <w:r>
        <w:rPr>
          <w:kern w:val="1"/>
        </w:rPr>
        <w:tab/>
      </w:r>
      <w:r w:rsidR="00836C61">
        <w:t xml:space="preserve">We </w:t>
      </w:r>
      <w:r w:rsidR="00E7521A">
        <w:t>applied</w:t>
      </w:r>
      <w:r w:rsidR="00836C61">
        <w:t xml:space="preserve"> </w:t>
      </w:r>
      <w:r w:rsidR="00C440B6">
        <w:t>graph visualization</w:t>
      </w:r>
      <w:r w:rsidR="00E7521A">
        <w:t>s</w:t>
      </w:r>
      <w:r w:rsidR="00C440B6">
        <w:t xml:space="preserve"> and </w:t>
      </w:r>
      <w:r w:rsidR="00836C61">
        <w:t>exponential-family random graph models (ERGMs) to examine each unit’s</w:t>
      </w:r>
      <w:r w:rsidR="002B3ED9">
        <w:t xml:space="preserve"> status, friendship, and trust</w:t>
      </w:r>
      <w:r w:rsidR="00836C61">
        <w:t xml:space="preserve"> network</w:t>
      </w:r>
      <w:r w:rsidR="002B3ED9">
        <w:t>s</w:t>
      </w:r>
      <w:r w:rsidR="00836C61">
        <w:t xml:space="preserve">. ERGMs formulate the probability of observing a network given a set of nodes (e.g., individuals) and their attributes </w:t>
      </w:r>
      <w:r w:rsidR="00836C61">
        <w:fldChar w:fldCharType="begin" w:fldLock="1"/>
      </w:r>
      <w:r w:rsidR="00836C61">
        <w:rPr>
          <w:rFonts w:ascii="TimesNewRomanPSMT" w:hAnsi="TimesNewRomanPSMT" w:cs="TimesNewRomanPSMT"/>
        </w:rPr>
        <w:instrText>ADDIN CSL_CITATION {"citationItems":[{"id":"ITEM-1","itemData":{"DOI":"10.1016/j.socnet.2006.08.002","ISBN":"03788733","ISSN":"03788733","PMID":"18449326","abstract":"This article provides an introductory summary to the formulation and application of exponential random graph models for social networks. The possible ties among nodes of a network are regarded as random variables, and assumptions about dependencies among these random tie variables determine the general form of the exponential random graph model for the network. Examples of different dependence assumptions and their associated models are given, including Bernoulli, dyad-independent and Markov random graph models. The incorporation of actor attributes in social selection models is also reviewed. Newer, more complex dependence assumptions are briefly outlined. Estimation procedures are discussed, including new methods for Monte Carlo maximum likelihood estimation. We foreshadow the discussion taken up in other papers in this special edition: that the homogeneous Markov random graph models of Frank and Strauss [Frank, O., Strauss, D., 1986. Markov graphs. Journal of the American Statistical Association 81, 832-842] are not appropriate for many observed networks, whereas the new model specifications of Snijders et al. [Snijders, T.A.B., Pattison, P., Robins, G.L., Handock, M. New specifications for exponential random graph models. Sociological Methodology, in press] offer substantial improvement. ?? 2006 Elsevier B.V. All rights reserved.","author":[{"dropping-particle":"","family":"Robins","given":"Garry","non-dropping-particle":"","parse-names":false,"suffix":""},{"dropping-particle":"","family":"Pattison","given":"Pip","non-dropping-particle":"","parse-names":false,"suffix":""},{"dropping-particle":"","family":"Kalish","given":"Yuval","non-dropping-particle":"","parse-names":false,"suffix":""},{"dropping-particle":"","family":"Lusher","given":"Dean","non-dropping-particle":"","parse-names":false,"suffix":""}],"container-title":"Social Networks","id":"ITEM-1","issue":"2","issued":{"date-parts":[["2007"]]},"page":"173-191","title":"An introduction to exponential random graph (p*) models for social networks","type":"article-journal","volume":"29"},"uris":["http://www.mendeley.com/documents/?uuid=8ff66f3e-30da-4d76-a6ff-cdf65594b17e"]},{"id":"ITEM-2","itemData":{"abstract":"The most promising class of statistical models for expressing struc- tural properties of social networks observed at one moment in time is the class of exponential random graph models (ERGMs), also known as p</w:instrText>
      </w:r>
      <w:r w:rsidR="00836C61">
        <w:rPr>
          <w:rFonts w:ascii="Cambria Math" w:hAnsi="Cambria Math" w:cs="Cambria Math"/>
        </w:rPr>
        <w:instrText>∗</w:instrText>
      </w:r>
      <w:r w:rsidR="00836C61">
        <w:rPr>
          <w:rFonts w:ascii="TimesNewRomanPSMT" w:hAnsi="TimesNewRomanPSMT" w:cs="TimesNewRomanPSMT"/>
        </w:rPr>
        <w:instrText xml:space="preserve"> models. The strong point of these models is that they can represent a variety of structural tendencies, such as transitivity, that define complicated dependence patterns not easily modeled by more basicprobability models. Recently, Markov chain Monte Carlo(MCMC)algorithms have been developed that produce ap- proximate maximumlikelihood estimators.Applying these models in their traditional specification to observed network data often has led to problems, however, which can be traced back to the fact that important parts of the parameter space correspond to nearly de- generate distributions, which may lead to convergence problems of estimation algorithms, and a poor fit to empirical data. This paper proposes new specifications of exponential random graph models. These specifications represent structural properties such as transitivity and heterogeneity of degrees by more compli- cated graph statistics than the traditional star and triangle counts. Three kinds of statistics are proposed: geometrically weighted de- gree distributions, alternating k-triangles, and alternating indepen- dent two-paths. Examples are presented both of modeling graphs and digraphs, in which the new specifications lead to much better results than the earlier existing specifications of the ERGM. It is concluded that the new specifications increase the range and appli- cability of theERGMas a tool for the statistical analysis of social networks.","author":[{"dropping-particle":"","family":"Snijders","given":"Tom A.B.","non-dropping-particle":"","parse-names":false,"suffix":""},{"dropping-particle":"","family":"Pattison","given":"Philippa E.","non-dropping-particle":"","parse-names":false,"suffix":""},{"dropping-particle":"","family":"Robins","given":"Garry L.","non-dropping-particle":"","parse-names":false,"suffix":""},{"dropping-particle":"","family":"Handcock","given":"Mark S.","non-dropping-particle":"","parse-names":false,"suffix":""}],"container-title":"Sociological Methodology","id":"ITEM-2","issue":"1","issued":{"date-parts":[["2006"]]},"page":"99-153","title":"New specifications for exponential random graph models","type":"article-journal","volume":"36"},"uris":["http://www.mendeley.com/documents/?uuid=33e2781f-1e84-4d47-9fc0-6cf715d9b38d"]},{"id":"ITEM-3","itemData":{"DOI":"10.1007/BF02294547","ISBN":"0033-3123, Print","ISSN":"0033-3123","PMID":"10613111","abstract":"Spanning nearly sixty years of research, statistical network analysis has passed through (at least) two generations of researchers and models. Beginning in the late 1930's, the first generation of research dealt with the distribution of various network statistics, under a variety of null models. The second generation, beginning in the 1970's and continuing into the 1980's, concerned models, usually for probabilities of relational ties among very small subsets of actors, in which various simple substantive tendencies were parameterized. Much of this research, most of which utilized log linear models, first appeared in applied statistics publications. But recent developments in social network analysis promise to bring us into a third generation. The Markov random graphs of Frank and Strauss (1986) and especially the estimation strategy for these models developed by Strauss and Ikeda (1990; described in brief in Strauss, 1992), are very recent and promising contributions to this field. Here we describe a large class of models that can be used to investigate structure in social networks. These models include several generalizations of stochastic blockmodels, as well as models parameterizing global tendencies towards clustering and centralization, and individual differences in such tendencies. Approximate model fits are obtained using Strauss and Ikeda's (1990) estimation strategy. In this paper we describe and extend these models and demonstrate how they can be used to address a variety of substantive questions about structure in social networks.","author":[{"dropping-particle":"","family":"Wasserman","given":"Stanley","non-dropping-particle":"","parse-names":false,"suffix":""},{"dropping-particle":"","family":"Pattison","given":"Philippa","non-dropping-particle":"","parse-names":false,"suffix":""}],"container-title":"Psychometrika","id":"ITEM-3","issue":"3","issued":{"date-parts":[["1996"]]},"page":"401-425","title":"Logit models and logistic regressions for social networks: I. An introduction to Markov graphs andp","type":"article-journal","volume":"61"},"uris":["http://www.mendeley.com/documents/?uuid=e59ed2c2-e436-4e3e-84f5-b3805646cd20"]},{"id":"ITEM-4","itemData":{"DOI":"10.18637/jss.v024.i03","ISBN":"1548-7660 (Electronic)\\n1548-7660 (Linking)","ISSN":"1548-7660","PMID":"19756229","abstract":"We describe some of the capabilities of the ergm package and the statistical theory underlying it. This package contains tools for accomplishing three important, and interrelated, tasks involving exponential-family random graph models (ERGMs): estimation, simulation, and goodness of fit. More precisely, ergm has the capability of approximating a maximum likelihood estimator for an ERGM given a network data set; simulating new network data sets from a fitted ERGM using Markov chain Monte Carlo; and assessing how well a fitted ERGM does at capturing characteristics of a particular network data set.","author":[{"dropping-particle":"","family":"Hunter","given":"David R","non-dropping-particle":"","parse-names":false,"suffix":""},{"dropping-particle":"","family":"Handcock","given":"Mark S","non-dropping-particle":"","parse-names":false,"suffix":""},{"dropping-particle":"","family":"Butts","given":"Carter T","non-dropping-particle":"","parse-names":false,"suffix":""},{"dropping-particle":"","family":"Goodreau","given":"Steven M","non-dropping-particle":"","parse-names":false,"suffix":""},{"dropping-particle":"","family":"Morris","given":"Martina","non-dropping-particle":"","parse-names":false,"suffix":""}],"container-title":"Journal of statistical software","id":"ITEM-4","issue":"3","issued":{"date-parts":[["2008"]]},"title":"ergm: A Package to Fit, Simulate and Diagnose Exponential-Family Models for Networks.","type":"article-journal","volume":"24"},"uris":["http://www.mendeley.com/documents/?uuid=a4306b23-eaec-4917-918c-ca04f52a981f"]}],"mendeley":{"formattedCitation":"(Hunter, Handcock, Butts, Goodreau, &amp; Morris, 2008; Robins, Pattison, Kalish, &amp; Lusher, 2007; Snijders, Pattison, Robins, &amp; Handcock, 2006; Wasserman &amp; Pattison, 1996)","plainTextFormattedCitation":"(Hunter, Handcock, Butts, Goodreau, &amp; Morris, 2008; Robins, Pattison, Kalish, &amp; Lusher, 2007; Snijders, Pattison, Robins, &amp; Handcock, 2006; Wasserman &amp; Pattison, 1996)","previouslyFormattedCitation":"(Hunter, Handcock, Butts, Goodreau, &amp; Morris, 2008; Robins, Pattison, Kalish, &amp; Lusher, 2007; Snijders, Pattison, Robins, &amp; Handcock, 2006; Wasserman &amp; Pattison, 1996)"},"properties":{"noteIndex":0},"schema":"https://github.com/citation-style-language/schema/raw/master/csl-citation.json"}</w:instrText>
      </w:r>
      <w:r w:rsidR="00836C61">
        <w:fldChar w:fldCharType="separate"/>
      </w:r>
      <w:r w:rsidR="00836C61">
        <w:rPr>
          <w:rFonts w:ascii="TimesNewRomanPSMT" w:hAnsi="TimesNewRomanPSMT" w:cs="TimesNewRomanPSMT"/>
          <w:noProof/>
        </w:rPr>
        <w:t>(Hunter et al., 2008</w:t>
      </w:r>
      <w:r w:rsidR="00836C61">
        <w:fldChar w:fldCharType="end"/>
      </w:r>
      <w:r w:rsidR="002148A2">
        <w:t>)</w:t>
      </w:r>
      <w:r w:rsidR="002B3ED9">
        <w:t>.</w:t>
      </w:r>
      <w:r w:rsidR="000A5E8D">
        <w:t xml:space="preserve"> </w:t>
      </w:r>
      <w:r w:rsidR="000A5E8D" w:rsidRPr="000A5E8D">
        <w:t xml:space="preserve">A powerful feature of ERGMs is their ability to account for the endogenous and mutually dependent nature of ties. This means that predictors can include not only </w:t>
      </w:r>
      <w:r w:rsidR="00493734">
        <w:t xml:space="preserve">individual </w:t>
      </w:r>
      <w:r w:rsidR="000A5E8D" w:rsidRPr="000A5E8D">
        <w:t xml:space="preserve">attributes, but also </w:t>
      </w:r>
      <w:r w:rsidR="00B5189B">
        <w:t xml:space="preserve">properties of connected pairs (dyads) </w:t>
      </w:r>
      <w:r w:rsidR="00044A40">
        <w:t xml:space="preserve">and </w:t>
      </w:r>
      <w:r w:rsidR="006004BA">
        <w:t>groups of three individuals (triads)</w:t>
      </w:r>
      <w:r w:rsidR="000A5E8D" w:rsidRPr="000A5E8D">
        <w:t>.</w:t>
      </w:r>
    </w:p>
    <w:p w14:paraId="4316BDFA" w14:textId="28C6D08C" w:rsidR="000A5E8D" w:rsidRDefault="000A5E8D">
      <w:r>
        <w:tab/>
      </w:r>
      <w:r w:rsidR="004964E9">
        <w:t>To complement the formal network analyses, w</w:t>
      </w:r>
      <w:r w:rsidR="00F45FF2">
        <w:t>e use</w:t>
      </w:r>
      <w:r w:rsidR="000747E8">
        <w:t>d</w:t>
      </w:r>
      <w:r w:rsidR="00F45FF2">
        <w:t xml:space="preserve"> inductive thematic coding to examine </w:t>
      </w:r>
      <w:r w:rsidR="00F64BCA">
        <w:t xml:space="preserve">the status narratives in the women’s units. </w:t>
      </w:r>
      <w:r w:rsidR="00362E62" w:rsidRPr="00362E62">
        <w:t xml:space="preserve">Open-ended responses </w:t>
      </w:r>
      <w:r w:rsidR="00595A45">
        <w:t xml:space="preserve">for </w:t>
      </w:r>
      <w:r w:rsidR="00362E62" w:rsidRPr="00362E62">
        <w:t xml:space="preserve">powerful and influential </w:t>
      </w:r>
      <w:r w:rsidR="00595A45">
        <w:t xml:space="preserve">peers </w:t>
      </w:r>
      <w:r w:rsidR="00362E62" w:rsidRPr="00362E62">
        <w:t>were disaggregated into narrative elements (i.e., distinct ideas embedded in each response) before thematic coding.</w:t>
      </w:r>
      <w:r w:rsidR="00AD7E57">
        <w:t xml:space="preserve"> </w:t>
      </w:r>
      <w:r w:rsidR="00AD7E57" w:rsidRPr="00AD7E57">
        <w:t>In the first women’s unit, there were 253 top-three power and influence nominations sent to 50 women with 561 elements. The second women’s unit had 115 top-three power and influence nominations sent to 28 women with 177 elements. Finally, the third women’s unit had 90 top-three nominations sent to 30 women with 136 elements.</w:t>
      </w:r>
      <w:r w:rsidR="002505D3">
        <w:t xml:space="preserve"> </w:t>
      </w:r>
      <w:r w:rsidR="00595A45">
        <w:t>I</w:t>
      </w:r>
      <w:r w:rsidR="002505D3" w:rsidRPr="002505D3">
        <w:t>nterrater reliabilities for all four units were in the acceptable range (Krippendorf Alpha = .70 [unit 1], .75 [unit 2], .68 [unit 3], .69 [men]).</w:t>
      </w:r>
    </w:p>
    <w:p w14:paraId="47C13D1B" w14:textId="7BEC94F3" w:rsidR="00450752" w:rsidRDefault="00450752">
      <w:r>
        <w:tab/>
        <w:t xml:space="preserve">To supplement </w:t>
      </w:r>
      <w:r w:rsidR="007A68C8">
        <w:t>the survey data collected in phase 1</w:t>
      </w:r>
      <w:r w:rsidR="005E5B48">
        <w:t>,</w:t>
      </w:r>
      <w:r w:rsidR="007A68C8">
        <w:t xml:space="preserve"> we requested an array of administrative data from the </w:t>
      </w:r>
      <w:r w:rsidR="00443F83">
        <w:t>Pennsylvania Department of Corrections (</w:t>
      </w:r>
      <w:r w:rsidR="007A68C8">
        <w:t>PADOC</w:t>
      </w:r>
      <w:r w:rsidR="00443F83">
        <w:t xml:space="preserve">) </w:t>
      </w:r>
      <w:r w:rsidR="00F338EB">
        <w:t>that capture</w:t>
      </w:r>
      <w:r w:rsidR="00247B42">
        <w:t xml:space="preserve"> static </w:t>
      </w:r>
      <w:r w:rsidR="00DD219A">
        <w:t>traits</w:t>
      </w:r>
      <w:r w:rsidR="00F338EB">
        <w:t xml:space="preserve"> or demographic characteristics</w:t>
      </w:r>
      <w:r w:rsidR="00696666">
        <w:t>,</w:t>
      </w:r>
      <w:r w:rsidR="005B13D8">
        <w:t xml:space="preserve"> such as </w:t>
      </w:r>
      <w:r w:rsidR="00F338EB">
        <w:t>age</w:t>
      </w:r>
      <w:r w:rsidR="00A406A3">
        <w:t xml:space="preserve"> and religious affiliation</w:t>
      </w:r>
      <w:r w:rsidR="00562525">
        <w:t xml:space="preserve">. This permitted us to </w:t>
      </w:r>
      <w:r w:rsidR="004309A2">
        <w:t>shorten the survey and</w:t>
      </w:r>
      <w:r w:rsidR="00247B42">
        <w:t xml:space="preserve"> alleviate respondent </w:t>
      </w:r>
      <w:r w:rsidR="005B13D8">
        <w:t>burden</w:t>
      </w:r>
      <w:r w:rsidR="00696666">
        <w:t>.</w:t>
      </w:r>
      <w:r w:rsidR="00247B42">
        <w:t xml:space="preserve"> </w:t>
      </w:r>
      <w:r w:rsidR="00696666">
        <w:t xml:space="preserve">Also, we used administrative records </w:t>
      </w:r>
      <w:r w:rsidR="00247B42">
        <w:t xml:space="preserve">to generate </w:t>
      </w:r>
      <w:r w:rsidR="00B644BF">
        <w:t>several longitudinal measures</w:t>
      </w:r>
      <w:r w:rsidR="0071462D">
        <w:t>, such as</w:t>
      </w:r>
      <w:r w:rsidR="003218D1">
        <w:t xml:space="preserve"> visitation in the six months </w:t>
      </w:r>
      <w:r w:rsidR="00696666">
        <w:t>preceding</w:t>
      </w:r>
      <w:r w:rsidR="003218D1">
        <w:t xml:space="preserve"> survey collection</w:t>
      </w:r>
      <w:r w:rsidR="0011796D">
        <w:t xml:space="preserve"> and </w:t>
      </w:r>
      <w:r w:rsidR="00696666">
        <w:t>time spent in PADOC facilities</w:t>
      </w:r>
      <w:r w:rsidR="003218D1">
        <w:t>.</w:t>
      </w:r>
      <w:r w:rsidR="0028394F">
        <w:t xml:space="preserve"> </w:t>
      </w:r>
      <w:r w:rsidR="002E25D9">
        <w:t xml:space="preserve"> </w:t>
      </w:r>
      <w:r w:rsidR="003A7B0C">
        <w:t xml:space="preserve">PADOC visitation lists </w:t>
      </w:r>
      <w:r w:rsidR="00540DE3">
        <w:t xml:space="preserve">also permitted us to determine if a respondent’s child visited her </w:t>
      </w:r>
      <w:r w:rsidR="00CD741D">
        <w:t xml:space="preserve">during a specified period, such as the 6-month period prior to the survey administration. </w:t>
      </w:r>
      <w:r w:rsidR="002E25D9">
        <w:t xml:space="preserve"> </w:t>
      </w:r>
    </w:p>
    <w:p w14:paraId="68C36A5E" w14:textId="4879C182" w:rsidR="00B96B57" w:rsidRDefault="002505D3" w:rsidP="006E1C7D">
      <w:r>
        <w:rPr>
          <w:b/>
        </w:rPr>
        <w:t>Phase</w:t>
      </w:r>
      <w:r w:rsidR="007F37D2">
        <w:rPr>
          <w:b/>
        </w:rPr>
        <w:t>s</w:t>
      </w:r>
      <w:r>
        <w:rPr>
          <w:b/>
        </w:rPr>
        <w:t xml:space="preserve"> 2</w:t>
      </w:r>
      <w:r w:rsidR="007F37D2">
        <w:rPr>
          <w:b/>
        </w:rPr>
        <w:t xml:space="preserve"> and 3</w:t>
      </w:r>
      <w:r>
        <w:rPr>
          <w:b/>
        </w:rPr>
        <w:t xml:space="preserve">. </w:t>
      </w:r>
      <w:r w:rsidR="00985097" w:rsidRPr="00985097">
        <w:t xml:space="preserve"> </w:t>
      </w:r>
      <w:r w:rsidR="00595A45">
        <w:t>Phase 2 (pre-release) i</w:t>
      </w:r>
      <w:r w:rsidR="00985097">
        <w:t>nterview</w:t>
      </w:r>
      <w:r w:rsidR="00535B46">
        <w:t>s</w:t>
      </w:r>
      <w:r w:rsidR="00985097">
        <w:t xml:space="preserve"> </w:t>
      </w:r>
      <w:r w:rsidR="00535B46">
        <w:t>were</w:t>
      </w:r>
      <w:r w:rsidR="00985097">
        <w:t xml:space="preserve"> transcribed</w:t>
      </w:r>
      <w:r w:rsidR="00F20025">
        <w:t xml:space="preserve"> an</w:t>
      </w:r>
      <w:r w:rsidR="00985097">
        <w:t xml:space="preserve">d </w:t>
      </w:r>
      <w:r w:rsidR="00595A45">
        <w:t xml:space="preserve">thematically </w:t>
      </w:r>
      <w:r w:rsidR="00985097">
        <w:t>coded</w:t>
      </w:r>
      <w:r w:rsidR="00595A45">
        <w:t xml:space="preserve"> using NVivo software</w:t>
      </w:r>
      <w:r w:rsidR="00985097">
        <w:t xml:space="preserve">. </w:t>
      </w:r>
      <w:r w:rsidR="00F20025">
        <w:t xml:space="preserve">Each </w:t>
      </w:r>
      <w:r w:rsidR="00B96B57">
        <w:t xml:space="preserve">Phase 2 </w:t>
      </w:r>
      <w:r w:rsidR="00F20025">
        <w:t xml:space="preserve">interview </w:t>
      </w:r>
      <w:r w:rsidR="00535B46">
        <w:t>was</w:t>
      </w:r>
      <w:r w:rsidR="00F20025">
        <w:t xml:space="preserve"> </w:t>
      </w:r>
      <w:r w:rsidR="00B96B57">
        <w:t xml:space="preserve">broadly </w:t>
      </w:r>
      <w:r w:rsidR="00F20025">
        <w:t xml:space="preserve">coded by at least two coders and coding procedures were revised until a high interrater reliability rate was achieved. </w:t>
      </w:r>
      <w:r w:rsidR="00B96B57">
        <w:t xml:space="preserve">Initial coding of Phase 3 interviews was </w:t>
      </w:r>
      <w:r w:rsidR="00662306">
        <w:t xml:space="preserve">also </w:t>
      </w:r>
      <w:r w:rsidR="00B96B57">
        <w:t>recently completed. Interviews were recorded and uploaded to a third-party transcriber. Transcripts were then redacted of participant-identifying information and imported into the NVivo software package. Within this software, interview statements and responses were selected and categorized by undergraduate coders (Phase 2) and graduate student coders (Phase 3) into themes and sub themes. Examples of these themes include</w:t>
      </w:r>
      <w:r w:rsidR="00662306">
        <w:t>,</w:t>
      </w:r>
      <w:r w:rsidR="00B96B57">
        <w:t xml:space="preserve"> but are not limited to</w:t>
      </w:r>
      <w:r w:rsidR="00662306">
        <w:t>,</w:t>
      </w:r>
      <w:r w:rsidR="00B96B57">
        <w:t xml:space="preserve"> health, relationships, expectations, prison programming, childhood experiences, and past offenses. Initial broad coding followed flexible coding methods (e.g., Detering and Waters 2018), an approach best suited for research projects with multiple researchers and a fairly structured interview guide. Themes were selected by investigators to include sociological phenomena that may be uncovered within the interviews and broadly follow the structure of the interview guide. Further themes were then added holistically after an initial exploratory coding session to uncover what further coding themes would be prudent to include. Statements and responses were coded in an “all that apply” approach to account for the variety of themes a single statement </w:t>
      </w:r>
      <w:r w:rsidR="00662306">
        <w:t>might fit</w:t>
      </w:r>
      <w:r w:rsidR="00B96B57">
        <w:t>. For Phase 2 (pre-release interviews)</w:t>
      </w:r>
      <w:r w:rsidR="00662306">
        <w:t>,</w:t>
      </w:r>
      <w:r w:rsidR="00B96B57">
        <w:t xml:space="preserve"> undergraduate interns were hired and trained by the Penn</w:t>
      </w:r>
      <w:r w:rsidR="00903464">
        <w:t>sylvania</w:t>
      </w:r>
      <w:r w:rsidR="00B96B57">
        <w:t xml:space="preserve"> State </w:t>
      </w:r>
      <w:r w:rsidR="00903464">
        <w:t xml:space="preserve">University </w:t>
      </w:r>
      <w:r w:rsidR="00B96B57">
        <w:t xml:space="preserve">Criminal Justice </w:t>
      </w:r>
      <w:r w:rsidR="00903464">
        <w:t xml:space="preserve">Research </w:t>
      </w:r>
      <w:r w:rsidR="00B96B57">
        <w:t>Center and their coding was overseen by a lab supervisor. Each transcript was coded by no fewer than two interns for the purpose of measuring interrater reliability. Coding designations from each respective coder were then merged into a single file and provided to investigators for further analysis. Phase 3 interviews were coded in much the same way by a graduate student coder at Rutgers University, supervised by Co-</w:t>
      </w:r>
      <w:r w:rsidR="000B22DE">
        <w:t>Principal Investigator (</w:t>
      </w:r>
      <w:r w:rsidR="00B96B57">
        <w:t>PI</w:t>
      </w:r>
      <w:r w:rsidR="000B22DE">
        <w:t>)</w:t>
      </w:r>
      <w:r w:rsidR="00B96B57">
        <w:t xml:space="preserve"> Wakefield. </w:t>
      </w:r>
    </w:p>
    <w:p w14:paraId="745271BC" w14:textId="352B4D7A" w:rsidR="00B96B57" w:rsidRDefault="00F20025" w:rsidP="003A2315">
      <w:pPr>
        <w:ind w:firstLine="720"/>
      </w:pPr>
      <w:r>
        <w:t xml:space="preserve">Co-PI </w:t>
      </w:r>
      <w:r w:rsidR="00985097">
        <w:t>Wakefield and consultant Soyer</w:t>
      </w:r>
      <w:r w:rsidR="00095B0E">
        <w:t xml:space="preserve"> </w:t>
      </w:r>
      <w:r w:rsidR="00932E9C">
        <w:t>have begun</w:t>
      </w:r>
      <w:r>
        <w:t xml:space="preserve"> </w:t>
      </w:r>
      <w:r w:rsidR="00B96B57">
        <w:t xml:space="preserve">a more </w:t>
      </w:r>
      <w:r>
        <w:t>in-depth coding and analysis</w:t>
      </w:r>
      <w:r w:rsidR="00ED1398">
        <w:t xml:space="preserve"> of </w:t>
      </w:r>
      <w:r w:rsidR="00B96B57">
        <w:t>all</w:t>
      </w:r>
      <w:r w:rsidR="00ED1398">
        <w:t xml:space="preserve"> pre-release </w:t>
      </w:r>
      <w:r w:rsidR="00B96B57">
        <w:t xml:space="preserve">and community </w:t>
      </w:r>
      <w:r w:rsidR="00ED1398">
        <w:t>interviews</w:t>
      </w:r>
      <w:r w:rsidR="00F83037">
        <w:t>, using the broad code summaries</w:t>
      </w:r>
      <w:r w:rsidR="00A01F60">
        <w:t xml:space="preserve"> as a </w:t>
      </w:r>
      <w:r w:rsidR="00662306">
        <w:t>baseline</w:t>
      </w:r>
      <w:r w:rsidR="00A01F60">
        <w:t>,</w:t>
      </w:r>
      <w:r w:rsidR="00F83037">
        <w:t xml:space="preserve"> and comparing across case characteristics (prison unit, crime type, demographics, etc.)</w:t>
      </w:r>
      <w:r w:rsidR="00662306">
        <w:t xml:space="preserve"> and</w:t>
      </w:r>
      <w:r w:rsidR="00F83037">
        <w:t xml:space="preserve"> sample type (incarcerated women, caregivers, and children), and wave (pre-release relative to community).</w:t>
      </w:r>
      <w:r w:rsidR="00A63889">
        <w:t xml:space="preserve"> See final section regarding forthcoming analyses and publication</w:t>
      </w:r>
      <w:r w:rsidR="00F847E4">
        <w:t xml:space="preserve"> plan</w:t>
      </w:r>
      <w:r w:rsidR="00A63889">
        <w:t>s.</w:t>
      </w:r>
    </w:p>
    <w:p w14:paraId="71946609" w14:textId="44E68BF3" w:rsidR="00F847E4" w:rsidRDefault="00985097" w:rsidP="00A01F60">
      <w:pPr>
        <w:ind w:firstLine="720"/>
      </w:pPr>
      <w:r>
        <w:t xml:space="preserve">Phase 3 </w:t>
      </w:r>
      <w:r w:rsidR="00ED1398">
        <w:t xml:space="preserve">of the study </w:t>
      </w:r>
      <w:r w:rsidR="00595A45">
        <w:t>(post-release</w:t>
      </w:r>
      <w:r w:rsidR="00662306">
        <w:t xml:space="preserve"> interview</w:t>
      </w:r>
      <w:r w:rsidR="00595A45">
        <w:t>)</w:t>
      </w:r>
      <w:r>
        <w:t xml:space="preserve"> encountered </w:t>
      </w:r>
      <w:r w:rsidR="00ED1398">
        <w:t xml:space="preserve">several </w:t>
      </w:r>
      <w:r w:rsidR="00A92F7A">
        <w:t xml:space="preserve">logistical challenges. </w:t>
      </w:r>
      <w:r>
        <w:t xml:space="preserve">First, relative to our previous work on incarcerated men, </w:t>
      </w:r>
      <w:r w:rsidR="00ED1398">
        <w:t>formerly incarcerated women</w:t>
      </w:r>
      <w:r>
        <w:t xml:space="preserve"> were more likely to complete pre-release interviews but </w:t>
      </w:r>
      <w:r w:rsidR="00ED1398">
        <w:t xml:space="preserve">much more </w:t>
      </w:r>
      <w:r>
        <w:t xml:space="preserve">difficult to locate </w:t>
      </w:r>
      <w:r w:rsidR="00D05BF5">
        <w:t>once</w:t>
      </w:r>
      <w:r>
        <w:t xml:space="preserve"> release</w:t>
      </w:r>
      <w:r w:rsidR="00D05BF5">
        <w:t>d</w:t>
      </w:r>
      <w:r>
        <w:t xml:space="preserve">. </w:t>
      </w:r>
      <w:r w:rsidR="00ED1398">
        <w:t xml:space="preserve">We encountered a high </w:t>
      </w:r>
      <w:r w:rsidR="00662306">
        <w:t>incidence</w:t>
      </w:r>
      <w:r w:rsidR="00ED1398">
        <w:t xml:space="preserve"> of invalid contact information and/or family members who were disinclined to </w:t>
      </w:r>
      <w:r w:rsidR="00662306">
        <w:t>help in</w:t>
      </w:r>
      <w:r w:rsidR="00ED1398">
        <w:t xml:space="preserve"> contact</w:t>
      </w:r>
      <w:r w:rsidR="00662306">
        <w:t>ing</w:t>
      </w:r>
      <w:r w:rsidR="00ED1398">
        <w:t xml:space="preserve"> the respondent. </w:t>
      </w:r>
      <w:r w:rsidR="00D05BF5">
        <w:t>Additionally, we experienced a relatively high cancellation rate of scheduled interviews</w:t>
      </w:r>
      <w:r w:rsidR="00ED1398">
        <w:t xml:space="preserve"> and more variability in release dates</w:t>
      </w:r>
      <w:r w:rsidR="00D05BF5">
        <w:t xml:space="preserve">, </w:t>
      </w:r>
      <w:r w:rsidR="00F20025">
        <w:t>substantially lengthen</w:t>
      </w:r>
      <w:r w:rsidR="00D05BF5">
        <w:t>ing</w:t>
      </w:r>
      <w:r w:rsidR="00F20025">
        <w:t xml:space="preserve"> the data collection period for this portion of the study. </w:t>
      </w:r>
      <w:r>
        <w:t xml:space="preserve">Finally, </w:t>
      </w:r>
      <w:r w:rsidR="00F20025">
        <w:t xml:space="preserve">and most consequentially, </w:t>
      </w:r>
      <w:r w:rsidR="00ED1398">
        <w:t xml:space="preserve">just as </w:t>
      </w:r>
      <w:r w:rsidR="002A1337">
        <w:t xml:space="preserve">we </w:t>
      </w:r>
      <w:r w:rsidR="00ED1398">
        <w:t>were experiencing greater success in locating and securing interviews, the C</w:t>
      </w:r>
      <w:r w:rsidR="002A1337">
        <w:t>OVID</w:t>
      </w:r>
      <w:r w:rsidR="00ED1398">
        <w:t xml:space="preserve">-19 pandemic halted data collection. </w:t>
      </w:r>
      <w:r w:rsidR="00F847E4">
        <w:t>The study needed to close before follow</w:t>
      </w:r>
      <w:r w:rsidR="00381D18">
        <w:t>-</w:t>
      </w:r>
      <w:r w:rsidR="00F847E4">
        <w:t xml:space="preserve">up interviews could be completed, resulting </w:t>
      </w:r>
      <w:r w:rsidR="00303F56">
        <w:t xml:space="preserve">in a total of </w:t>
      </w:r>
      <w:r w:rsidR="00303F56" w:rsidRPr="00303F56">
        <w:t>56 total community interviews of 14 formerly incarcerated women, 14 caregivers, and 18 children before interviewing was halted due to the COVID-19 pandemic</w:t>
      </w:r>
      <w:r w:rsidR="009D0990">
        <w:t>.</w:t>
      </w:r>
    </w:p>
    <w:p w14:paraId="0C30868E" w14:textId="212FD942" w:rsidR="004D7294" w:rsidRDefault="004D7294" w:rsidP="00A01F60">
      <w:pPr>
        <w:ind w:firstLine="720"/>
      </w:pPr>
      <w:r w:rsidRPr="004D7294">
        <w:t>Many reentry studies of formerly incarcerated women involve small samples, few prospective studies initiate recruitment with the incarcerated mother (as opposed to children or caregivers), and many longitudinal reentry studies are focused on men. It is thus difficult to clearly know whether our retention difficulties result from gender differences in reentry experiences (and thus require different retention methods), how differently our retention rates might look if not for the Covid-19 pandemic and other logistical challenges notes above, or whether there are large differences in the experiences of those we retained in the study relative to those we were unable to interview in the community. It is likely that these differences are large (e.g., Western, Braga, Hureau, and Sirois 2016). As a result, we assume that the retained sample is likely skewed towards formerly incarcerated women with more stable reentry experiences and towards more stable families. As noted below, differences in recidivism rates offer one window for assessing these issues but may not be capable of illuminating more subtle reasons for losing subjects once they enter the community and we plan to assess the pre-release qualitative interviews for insights that may guide future research.</w:t>
      </w:r>
    </w:p>
    <w:p w14:paraId="43CDC7F3" w14:textId="2C361EB6" w:rsidR="001237F7" w:rsidRDefault="007C0212" w:rsidP="00A01F60">
      <w:pPr>
        <w:ind w:firstLine="720"/>
      </w:pPr>
      <w:r>
        <w:t xml:space="preserve">To accompany the qualitative re-entry experience, we queried two administrative data sources to generate a measure of recidivism for all women from the three units who were released after the survey was completed. We estimated Cox </w:t>
      </w:r>
      <w:r w:rsidR="00552B71">
        <w:t>p</w:t>
      </w:r>
      <w:r>
        <w:t xml:space="preserve">roportional </w:t>
      </w:r>
      <w:r w:rsidR="00552B71">
        <w:t>h</w:t>
      </w:r>
      <w:r>
        <w:t xml:space="preserve">azard </w:t>
      </w:r>
      <w:r w:rsidR="00552B71">
        <w:t>m</w:t>
      </w:r>
      <w:r>
        <w:t xml:space="preserve">odels of the risk of recidivism. Cox models are one way of modelling a hazard </w:t>
      </w:r>
      <w:r w:rsidR="006E1E71">
        <w:t xml:space="preserve">or survival </w:t>
      </w:r>
      <w:r>
        <w:t xml:space="preserve">function, where a sampled group is at risk </w:t>
      </w:r>
      <w:r w:rsidR="00C61FE1">
        <w:t>of</w:t>
      </w:r>
      <w:r>
        <w:t xml:space="preserve"> experiencing a </w:t>
      </w:r>
      <w:r w:rsidR="00C61FE1">
        <w:t xml:space="preserve">given </w:t>
      </w:r>
      <w:r>
        <w:t>outcome. Cox models are useful for events that</w:t>
      </w:r>
      <w:r w:rsidR="00C61FE1">
        <w:t xml:space="preserve"> occur</w:t>
      </w:r>
      <w:r>
        <w:t xml:space="preserve"> over time, and when the observation window is necessarily </w:t>
      </w:r>
      <w:r w:rsidR="00552B71">
        <w:t>truncated.</w:t>
      </w:r>
      <w:r>
        <w:t xml:space="preserve"> </w:t>
      </w:r>
      <w:r w:rsidR="00552B71">
        <w:t xml:space="preserve">The Cox proportional hazard model assumes that participants are at equal risk for the event, net of differences that are included as covariates whose coefficients describe proportional changes to the slope of the hazard function.  </w:t>
      </w:r>
      <w:r>
        <w:t>In our case, recidivism is a dichotomous measure</w:t>
      </w:r>
      <w:r w:rsidR="00552B71">
        <w:t xml:space="preserve">, coded as 1 for </w:t>
      </w:r>
      <w:r>
        <w:t>either reincarceration or rearrest, with the former primarily reflecting reincarceration on technical parole violations of parole</w:t>
      </w:r>
      <w:r w:rsidR="00552B71">
        <w:t>,</w:t>
      </w:r>
      <w:r w:rsidR="00552B71" w:rsidRPr="00552B71">
        <w:t xml:space="preserve"> </w:t>
      </w:r>
      <w:r w:rsidR="00552B71">
        <w:t>and 0 if that member of the sample was not observed to experience a recidivism event</w:t>
      </w:r>
      <w:r>
        <w:t xml:space="preserve">. </w:t>
      </w:r>
    </w:p>
    <w:p w14:paraId="506DFAA3" w14:textId="5C5B7CC4" w:rsidR="00B252F2" w:rsidRDefault="007C0212" w:rsidP="00A01F60">
      <w:pPr>
        <w:ind w:firstLine="720"/>
      </w:pPr>
      <w:r>
        <w:t xml:space="preserve">The </w:t>
      </w:r>
      <w:r w:rsidRPr="00784092">
        <w:t xml:space="preserve">Pennsylvania Department of Corrections </w:t>
      </w:r>
      <w:r>
        <w:t xml:space="preserve">(PADOC) supplied inmate movement records for our full sample (N = 283), which enabled identification of instances in which an individual was released and then returned to the state prison system for a parole violation. This reincarceration data was provided in November 2020, which provided a post-release observation window ranging in length from zero days (release occurred on the day data was provided) to nearly 3.5 years, depending on the release date of the individual. </w:t>
      </w:r>
      <w:r w:rsidR="00552B71">
        <w:t xml:space="preserve">Cox models are useful for handling data such as these because of the way data are used in the </w:t>
      </w:r>
      <w:r w:rsidR="00F15DA7">
        <w:t>survivor</w:t>
      </w:r>
      <w:r w:rsidR="00552B71">
        <w:t xml:space="preserve"> function – counting as an event if </w:t>
      </w:r>
      <w:r w:rsidR="00F15DA7">
        <w:t>member of the sample is observed recidivating but counting as a censored data point if they do not recidivate before the data was collected.</w:t>
      </w:r>
      <w:r>
        <w:t xml:space="preserve"> The Administrative Office of Pennsylvania Courts (AOPC), the administrative arm of the Supreme Court of Pennsylvania, provides publicly accessible court dockets for the entire state of Pennsylvania. With personally identifying information, such as full name and date of birth, all court records for a specific individual can be accessed through AOPC. In addition to the reincarceration data provided from PADOC, AOPC was queried for all individuals from the sample who had been released from prison after the interview (n = 173). The first name, last name, and date of birth of each individual was entered into AOPC’s search system, and all court dockets after the individual’s release from this stint of incarceration were examined. The first arrest incident, as indicated by the first arrest date listed in the court docket, was recorded as the individual’s date of first rearrest post-prison release.</w:t>
      </w:r>
      <w:r w:rsidR="001237F7">
        <w:t xml:space="preserve"> Descriptive statistics for the recidivism sample can be found below in </w:t>
      </w:r>
      <w:r w:rsidR="00303F56">
        <w:t>T</w:t>
      </w:r>
      <w:r w:rsidR="001237F7">
        <w:t xml:space="preserve">able </w:t>
      </w:r>
      <w:r w:rsidR="00303F56">
        <w:t xml:space="preserve">2 </w:t>
      </w:r>
      <w:r w:rsidR="001237F7">
        <w:t>with columns for the full sample, those released from prison, and those who were observed recidivating.</w:t>
      </w:r>
    </w:p>
    <w:p w14:paraId="618737CB" w14:textId="1B745F15" w:rsidR="00B252F2" w:rsidRDefault="00B252F2" w:rsidP="00A01F60">
      <w:pPr>
        <w:ind w:firstLine="720"/>
      </w:pPr>
    </w:p>
    <w:p w14:paraId="5A707787" w14:textId="27A65A26" w:rsidR="00B252F2" w:rsidRDefault="00B252F2" w:rsidP="00A01F60">
      <w:pPr>
        <w:ind w:firstLine="720"/>
      </w:pPr>
    </w:p>
    <w:p w14:paraId="33DD310F" w14:textId="47AFCA57" w:rsidR="00B252F2" w:rsidRDefault="00B252F2" w:rsidP="00A01F60">
      <w:pPr>
        <w:ind w:firstLine="720"/>
      </w:pPr>
    </w:p>
    <w:p w14:paraId="3DF246CB" w14:textId="1292B5C3" w:rsidR="00B252F2" w:rsidRDefault="00B252F2" w:rsidP="00A01F60">
      <w:pPr>
        <w:ind w:firstLine="720"/>
      </w:pPr>
    </w:p>
    <w:p w14:paraId="2153AF6A" w14:textId="227D4A7B" w:rsidR="00B252F2" w:rsidRDefault="00B252F2" w:rsidP="00A01F60">
      <w:pPr>
        <w:ind w:firstLine="720"/>
      </w:pPr>
    </w:p>
    <w:p w14:paraId="3B9F0369" w14:textId="77777777" w:rsidR="00B252F2" w:rsidRDefault="00B252F2" w:rsidP="00A01F60">
      <w:pPr>
        <w:ind w:firstLine="720"/>
      </w:pPr>
    </w:p>
    <w:p w14:paraId="23E61784" w14:textId="3CCE5F31" w:rsidR="003A35C1" w:rsidRDefault="003A35C1" w:rsidP="00C159A6">
      <w:pPr>
        <w:ind w:firstLine="720"/>
        <w:rPr>
          <w:rFonts w:cs="Times New Roman"/>
          <w:b/>
          <w:bCs/>
        </w:rPr>
      </w:pPr>
    </w:p>
    <w:p w14:paraId="25100864" w14:textId="68091BAB" w:rsidR="001237F7" w:rsidRDefault="00303F56" w:rsidP="001237F7">
      <w:pPr>
        <w:pStyle w:val="Heading4"/>
        <w:spacing w:line="240" w:lineRule="auto"/>
      </w:pPr>
      <w:r>
        <w:t>Table</w:t>
      </w:r>
      <w:r w:rsidR="001237F7">
        <w:t xml:space="preserve"> </w:t>
      </w:r>
      <w:r w:rsidRPr="00303F56">
        <w:t>2</w:t>
      </w:r>
      <w:r w:rsidR="001237F7">
        <w:t>. Recidivism Descriptive Statistics</w:t>
      </w:r>
    </w:p>
    <w:tbl>
      <w:tblPr>
        <w:tblW w:w="8522" w:type="dxa"/>
        <w:tblLook w:val="04A0" w:firstRow="1" w:lastRow="0" w:firstColumn="1" w:lastColumn="0" w:noHBand="0" w:noVBand="1"/>
      </w:tblPr>
      <w:tblGrid>
        <w:gridCol w:w="2140"/>
        <w:gridCol w:w="956"/>
        <w:gridCol w:w="636"/>
        <w:gridCol w:w="920"/>
        <w:gridCol w:w="956"/>
        <w:gridCol w:w="940"/>
        <w:gridCol w:w="382"/>
        <w:gridCol w:w="956"/>
        <w:gridCol w:w="636"/>
      </w:tblGrid>
      <w:tr w:rsidR="00303F56" w:rsidRPr="006F54CD" w14:paraId="56D49C2E" w14:textId="77777777" w:rsidTr="007A4FDC">
        <w:trPr>
          <w:trHeight w:val="510"/>
        </w:trPr>
        <w:tc>
          <w:tcPr>
            <w:tcW w:w="2140" w:type="dxa"/>
            <w:tcBorders>
              <w:top w:val="single" w:sz="4" w:space="0" w:color="auto"/>
              <w:left w:val="nil"/>
              <w:bottom w:val="nil"/>
              <w:right w:val="nil"/>
            </w:tcBorders>
            <w:shd w:val="clear" w:color="000000" w:fill="FFFFFF"/>
            <w:vAlign w:val="center"/>
            <w:hideMark/>
          </w:tcPr>
          <w:p w14:paraId="731E9DCC" w14:textId="77777777" w:rsidR="001237F7" w:rsidRPr="006F54CD" w:rsidRDefault="001237F7" w:rsidP="007F4660">
            <w:pPr>
              <w:spacing w:line="240" w:lineRule="auto"/>
            </w:pPr>
            <w:r w:rsidRPr="006F54CD">
              <w:t> </w:t>
            </w:r>
          </w:p>
        </w:tc>
        <w:tc>
          <w:tcPr>
            <w:tcW w:w="1592" w:type="dxa"/>
            <w:gridSpan w:val="2"/>
            <w:tcBorders>
              <w:top w:val="single" w:sz="4" w:space="0" w:color="auto"/>
              <w:left w:val="nil"/>
              <w:bottom w:val="nil"/>
              <w:right w:val="nil"/>
            </w:tcBorders>
            <w:shd w:val="clear" w:color="000000" w:fill="FFFFFF"/>
            <w:vAlign w:val="center"/>
            <w:hideMark/>
          </w:tcPr>
          <w:p w14:paraId="78988129" w14:textId="77777777" w:rsidR="001237F7" w:rsidRPr="006F54CD" w:rsidRDefault="001237F7" w:rsidP="007F4660">
            <w:pPr>
              <w:spacing w:line="240" w:lineRule="auto"/>
            </w:pPr>
            <w:r w:rsidRPr="006F54CD">
              <w:t>Full Sample</w:t>
            </w:r>
          </w:p>
        </w:tc>
        <w:tc>
          <w:tcPr>
            <w:tcW w:w="920" w:type="dxa"/>
            <w:tcBorders>
              <w:top w:val="single" w:sz="4" w:space="0" w:color="auto"/>
              <w:left w:val="nil"/>
              <w:bottom w:val="nil"/>
              <w:right w:val="nil"/>
            </w:tcBorders>
            <w:shd w:val="clear" w:color="000000" w:fill="FFFFFF"/>
            <w:vAlign w:val="center"/>
            <w:hideMark/>
          </w:tcPr>
          <w:p w14:paraId="0D9FEB06" w14:textId="77777777" w:rsidR="001237F7" w:rsidRPr="006F54CD" w:rsidRDefault="001237F7" w:rsidP="007F4660">
            <w:pPr>
              <w:spacing w:line="240" w:lineRule="auto"/>
            </w:pPr>
            <w:r w:rsidRPr="006F54CD">
              <w:t> </w:t>
            </w:r>
          </w:p>
        </w:tc>
        <w:tc>
          <w:tcPr>
            <w:tcW w:w="1896" w:type="dxa"/>
            <w:gridSpan w:val="2"/>
            <w:tcBorders>
              <w:top w:val="single" w:sz="4" w:space="0" w:color="auto"/>
              <w:left w:val="nil"/>
              <w:bottom w:val="nil"/>
              <w:right w:val="nil"/>
            </w:tcBorders>
            <w:shd w:val="clear" w:color="000000" w:fill="FFFFFF"/>
            <w:vAlign w:val="center"/>
            <w:hideMark/>
          </w:tcPr>
          <w:p w14:paraId="4B07F2A9" w14:textId="77777777" w:rsidR="001237F7" w:rsidRPr="006F54CD" w:rsidRDefault="001237F7" w:rsidP="007F4660">
            <w:pPr>
              <w:spacing w:line="240" w:lineRule="auto"/>
            </w:pPr>
            <w:r w:rsidRPr="006F54CD">
              <w:t>Released from Prison</w:t>
            </w:r>
          </w:p>
        </w:tc>
        <w:tc>
          <w:tcPr>
            <w:tcW w:w="382" w:type="dxa"/>
            <w:tcBorders>
              <w:top w:val="single" w:sz="4" w:space="0" w:color="auto"/>
              <w:left w:val="nil"/>
              <w:bottom w:val="nil"/>
              <w:right w:val="nil"/>
            </w:tcBorders>
            <w:shd w:val="clear" w:color="000000" w:fill="FFFFFF"/>
            <w:vAlign w:val="center"/>
            <w:hideMark/>
          </w:tcPr>
          <w:p w14:paraId="0AF5210D" w14:textId="77777777" w:rsidR="001237F7" w:rsidRPr="006F54CD" w:rsidRDefault="001237F7" w:rsidP="007F4660">
            <w:pPr>
              <w:spacing w:line="240" w:lineRule="auto"/>
            </w:pPr>
            <w:r w:rsidRPr="006F54CD">
              <w:t> </w:t>
            </w:r>
          </w:p>
        </w:tc>
        <w:tc>
          <w:tcPr>
            <w:tcW w:w="1592" w:type="dxa"/>
            <w:gridSpan w:val="2"/>
            <w:tcBorders>
              <w:top w:val="single" w:sz="4" w:space="0" w:color="auto"/>
              <w:left w:val="nil"/>
              <w:bottom w:val="nil"/>
              <w:right w:val="nil"/>
            </w:tcBorders>
            <w:shd w:val="clear" w:color="000000" w:fill="FFFFFF"/>
            <w:vAlign w:val="center"/>
            <w:hideMark/>
          </w:tcPr>
          <w:p w14:paraId="7901B986" w14:textId="77777777" w:rsidR="001237F7" w:rsidRPr="006F54CD" w:rsidRDefault="001237F7" w:rsidP="007F4660">
            <w:pPr>
              <w:spacing w:line="240" w:lineRule="auto"/>
            </w:pPr>
            <w:r w:rsidRPr="006F54CD">
              <w:t>Recidivated</w:t>
            </w:r>
          </w:p>
        </w:tc>
      </w:tr>
      <w:tr w:rsidR="00303F56" w:rsidRPr="006F54CD" w14:paraId="771B046C" w14:textId="77777777" w:rsidTr="001237F7">
        <w:trPr>
          <w:trHeight w:val="315"/>
        </w:trPr>
        <w:tc>
          <w:tcPr>
            <w:tcW w:w="2140" w:type="dxa"/>
            <w:tcBorders>
              <w:top w:val="nil"/>
              <w:left w:val="nil"/>
              <w:bottom w:val="nil"/>
              <w:right w:val="nil"/>
            </w:tcBorders>
            <w:shd w:val="clear" w:color="000000" w:fill="FFFFFF"/>
            <w:noWrap/>
            <w:vAlign w:val="center"/>
            <w:hideMark/>
          </w:tcPr>
          <w:p w14:paraId="2D9E9A56" w14:textId="77777777" w:rsidR="001237F7" w:rsidRPr="006F54CD" w:rsidRDefault="001237F7" w:rsidP="007F4660">
            <w:pPr>
              <w:spacing w:line="240" w:lineRule="auto"/>
            </w:pPr>
            <w:r w:rsidRPr="006F54CD">
              <w:t> </w:t>
            </w:r>
          </w:p>
        </w:tc>
        <w:tc>
          <w:tcPr>
            <w:tcW w:w="1592" w:type="dxa"/>
            <w:gridSpan w:val="2"/>
            <w:tcBorders>
              <w:top w:val="nil"/>
              <w:left w:val="nil"/>
              <w:bottom w:val="nil"/>
              <w:right w:val="nil"/>
            </w:tcBorders>
            <w:shd w:val="clear" w:color="000000" w:fill="FFFFFF"/>
            <w:noWrap/>
            <w:vAlign w:val="center"/>
            <w:hideMark/>
          </w:tcPr>
          <w:p w14:paraId="3893A005" w14:textId="77777777" w:rsidR="001237F7" w:rsidRPr="006F54CD" w:rsidRDefault="001237F7" w:rsidP="007F4660">
            <w:pPr>
              <w:spacing w:line="240" w:lineRule="auto"/>
            </w:pPr>
            <w:r w:rsidRPr="006F54CD">
              <w:t>(N = 283)</w:t>
            </w:r>
          </w:p>
        </w:tc>
        <w:tc>
          <w:tcPr>
            <w:tcW w:w="920" w:type="dxa"/>
            <w:tcBorders>
              <w:top w:val="nil"/>
              <w:left w:val="nil"/>
              <w:bottom w:val="nil"/>
              <w:right w:val="nil"/>
            </w:tcBorders>
            <w:shd w:val="clear" w:color="000000" w:fill="FFFFFF"/>
            <w:noWrap/>
            <w:vAlign w:val="center"/>
            <w:hideMark/>
          </w:tcPr>
          <w:p w14:paraId="126EC44C" w14:textId="77777777" w:rsidR="001237F7" w:rsidRPr="006F54CD" w:rsidRDefault="001237F7" w:rsidP="007F4660">
            <w:pPr>
              <w:spacing w:line="240" w:lineRule="auto"/>
            </w:pPr>
            <w:r w:rsidRPr="006F54CD">
              <w:t> </w:t>
            </w:r>
          </w:p>
        </w:tc>
        <w:tc>
          <w:tcPr>
            <w:tcW w:w="1896" w:type="dxa"/>
            <w:gridSpan w:val="2"/>
            <w:tcBorders>
              <w:top w:val="nil"/>
              <w:left w:val="nil"/>
              <w:bottom w:val="nil"/>
              <w:right w:val="nil"/>
            </w:tcBorders>
            <w:shd w:val="clear" w:color="000000" w:fill="FFFFFF"/>
            <w:noWrap/>
            <w:vAlign w:val="center"/>
            <w:hideMark/>
          </w:tcPr>
          <w:p w14:paraId="3E6D6157" w14:textId="77777777" w:rsidR="001237F7" w:rsidRPr="006F54CD" w:rsidRDefault="001237F7" w:rsidP="007F4660">
            <w:pPr>
              <w:spacing w:line="240" w:lineRule="auto"/>
            </w:pPr>
            <w:r w:rsidRPr="006F54CD">
              <w:t>(N = 173)</w:t>
            </w:r>
          </w:p>
        </w:tc>
        <w:tc>
          <w:tcPr>
            <w:tcW w:w="382" w:type="dxa"/>
            <w:tcBorders>
              <w:top w:val="nil"/>
              <w:left w:val="nil"/>
              <w:bottom w:val="nil"/>
              <w:right w:val="nil"/>
            </w:tcBorders>
            <w:shd w:val="clear" w:color="000000" w:fill="FFFFFF"/>
            <w:noWrap/>
            <w:vAlign w:val="center"/>
            <w:hideMark/>
          </w:tcPr>
          <w:p w14:paraId="053C1642" w14:textId="77777777" w:rsidR="001237F7" w:rsidRPr="006F54CD" w:rsidRDefault="001237F7" w:rsidP="007F4660">
            <w:pPr>
              <w:spacing w:line="240" w:lineRule="auto"/>
            </w:pPr>
            <w:r w:rsidRPr="006F54CD">
              <w:t> </w:t>
            </w:r>
          </w:p>
        </w:tc>
        <w:tc>
          <w:tcPr>
            <w:tcW w:w="1592" w:type="dxa"/>
            <w:gridSpan w:val="2"/>
            <w:tcBorders>
              <w:top w:val="nil"/>
              <w:left w:val="nil"/>
              <w:bottom w:val="nil"/>
              <w:right w:val="nil"/>
            </w:tcBorders>
            <w:shd w:val="clear" w:color="000000" w:fill="FFFFFF"/>
            <w:noWrap/>
            <w:vAlign w:val="center"/>
            <w:hideMark/>
          </w:tcPr>
          <w:p w14:paraId="6D2E98AC" w14:textId="77777777" w:rsidR="001237F7" w:rsidRPr="006F54CD" w:rsidRDefault="001237F7" w:rsidP="007F4660">
            <w:pPr>
              <w:spacing w:line="240" w:lineRule="auto"/>
            </w:pPr>
            <w:r w:rsidRPr="006F54CD">
              <w:t>(N = 13)</w:t>
            </w:r>
          </w:p>
        </w:tc>
      </w:tr>
      <w:tr w:rsidR="00303F56" w:rsidRPr="006F54CD" w14:paraId="6503EF78" w14:textId="77777777" w:rsidTr="001237F7">
        <w:trPr>
          <w:trHeight w:val="330"/>
        </w:trPr>
        <w:tc>
          <w:tcPr>
            <w:tcW w:w="2140" w:type="dxa"/>
            <w:tcBorders>
              <w:top w:val="nil"/>
              <w:left w:val="nil"/>
              <w:bottom w:val="single" w:sz="8" w:space="0" w:color="auto"/>
              <w:right w:val="nil"/>
            </w:tcBorders>
            <w:shd w:val="clear" w:color="000000" w:fill="FFFFFF"/>
            <w:noWrap/>
            <w:vAlign w:val="center"/>
            <w:hideMark/>
          </w:tcPr>
          <w:p w14:paraId="3F1E5253" w14:textId="77777777" w:rsidR="001237F7" w:rsidRPr="006F54CD" w:rsidRDefault="001237F7" w:rsidP="007F4660">
            <w:pPr>
              <w:spacing w:line="240" w:lineRule="auto"/>
            </w:pPr>
            <w:r w:rsidRPr="006F54CD">
              <w:t>Variables</w:t>
            </w:r>
          </w:p>
        </w:tc>
        <w:tc>
          <w:tcPr>
            <w:tcW w:w="956" w:type="dxa"/>
            <w:tcBorders>
              <w:top w:val="nil"/>
              <w:left w:val="nil"/>
              <w:bottom w:val="single" w:sz="8" w:space="0" w:color="auto"/>
              <w:right w:val="nil"/>
            </w:tcBorders>
            <w:shd w:val="clear" w:color="000000" w:fill="FFFFFF"/>
            <w:noWrap/>
            <w:vAlign w:val="center"/>
            <w:hideMark/>
          </w:tcPr>
          <w:p w14:paraId="09491F76" w14:textId="77777777" w:rsidR="001237F7" w:rsidRPr="006F54CD" w:rsidRDefault="001237F7" w:rsidP="007F4660">
            <w:pPr>
              <w:spacing w:line="240" w:lineRule="auto"/>
            </w:pPr>
            <w:r w:rsidRPr="006F54CD">
              <w:t xml:space="preserve">Mean </w:t>
            </w:r>
            <w:r>
              <w:t>(</w:t>
            </w:r>
            <w:r w:rsidRPr="006F54CD">
              <w:t>%</w:t>
            </w:r>
            <w:r>
              <w:t>)</w:t>
            </w:r>
          </w:p>
        </w:tc>
        <w:tc>
          <w:tcPr>
            <w:tcW w:w="636" w:type="dxa"/>
            <w:tcBorders>
              <w:top w:val="nil"/>
              <w:left w:val="nil"/>
              <w:bottom w:val="single" w:sz="8" w:space="0" w:color="auto"/>
              <w:right w:val="nil"/>
            </w:tcBorders>
            <w:shd w:val="clear" w:color="000000" w:fill="FFFFFF"/>
            <w:noWrap/>
            <w:vAlign w:val="center"/>
            <w:hideMark/>
          </w:tcPr>
          <w:p w14:paraId="55489528" w14:textId="77777777" w:rsidR="001237F7" w:rsidRPr="006F54CD" w:rsidRDefault="001237F7" w:rsidP="007F4660">
            <w:pPr>
              <w:spacing w:line="240" w:lineRule="auto"/>
            </w:pPr>
            <w:r w:rsidRPr="006F54CD">
              <w:t>SD</w:t>
            </w:r>
          </w:p>
        </w:tc>
        <w:tc>
          <w:tcPr>
            <w:tcW w:w="920" w:type="dxa"/>
            <w:tcBorders>
              <w:top w:val="nil"/>
              <w:left w:val="nil"/>
              <w:bottom w:val="single" w:sz="8" w:space="0" w:color="auto"/>
              <w:right w:val="nil"/>
            </w:tcBorders>
            <w:shd w:val="clear" w:color="000000" w:fill="FFFFFF"/>
            <w:noWrap/>
            <w:vAlign w:val="center"/>
            <w:hideMark/>
          </w:tcPr>
          <w:p w14:paraId="5C8F0E93" w14:textId="77777777" w:rsidR="001237F7" w:rsidRPr="006F54CD" w:rsidRDefault="001237F7" w:rsidP="007F4660">
            <w:pPr>
              <w:spacing w:line="240" w:lineRule="auto"/>
            </w:pPr>
            <w:r w:rsidRPr="006F54CD">
              <w:t> </w:t>
            </w:r>
          </w:p>
        </w:tc>
        <w:tc>
          <w:tcPr>
            <w:tcW w:w="956" w:type="dxa"/>
            <w:tcBorders>
              <w:top w:val="nil"/>
              <w:left w:val="nil"/>
              <w:bottom w:val="single" w:sz="8" w:space="0" w:color="auto"/>
              <w:right w:val="nil"/>
            </w:tcBorders>
            <w:shd w:val="clear" w:color="000000" w:fill="FFFFFF"/>
            <w:noWrap/>
            <w:vAlign w:val="center"/>
            <w:hideMark/>
          </w:tcPr>
          <w:p w14:paraId="772EFE95" w14:textId="77777777" w:rsidR="001237F7" w:rsidRPr="006F54CD" w:rsidRDefault="001237F7" w:rsidP="007F4660">
            <w:pPr>
              <w:spacing w:line="240" w:lineRule="auto"/>
            </w:pPr>
            <w:r w:rsidRPr="006F54CD">
              <w:t xml:space="preserve">Mean </w:t>
            </w:r>
            <w:r>
              <w:t>(</w:t>
            </w:r>
            <w:r w:rsidRPr="006F54CD">
              <w:t>%</w:t>
            </w:r>
            <w:r>
              <w:t>)</w:t>
            </w:r>
          </w:p>
        </w:tc>
        <w:tc>
          <w:tcPr>
            <w:tcW w:w="940" w:type="dxa"/>
            <w:tcBorders>
              <w:top w:val="nil"/>
              <w:left w:val="nil"/>
              <w:bottom w:val="single" w:sz="8" w:space="0" w:color="auto"/>
              <w:right w:val="nil"/>
            </w:tcBorders>
            <w:shd w:val="clear" w:color="000000" w:fill="FFFFFF"/>
            <w:noWrap/>
            <w:vAlign w:val="center"/>
            <w:hideMark/>
          </w:tcPr>
          <w:p w14:paraId="60E98A85" w14:textId="77777777" w:rsidR="001237F7" w:rsidRPr="006F54CD" w:rsidRDefault="001237F7" w:rsidP="007F4660">
            <w:pPr>
              <w:spacing w:line="240" w:lineRule="auto"/>
            </w:pPr>
            <w:r w:rsidRPr="006F54CD">
              <w:t>SD</w:t>
            </w:r>
          </w:p>
        </w:tc>
        <w:tc>
          <w:tcPr>
            <w:tcW w:w="382" w:type="dxa"/>
            <w:tcBorders>
              <w:top w:val="nil"/>
              <w:left w:val="nil"/>
              <w:bottom w:val="single" w:sz="8" w:space="0" w:color="auto"/>
              <w:right w:val="nil"/>
            </w:tcBorders>
            <w:shd w:val="clear" w:color="000000" w:fill="FFFFFF"/>
            <w:noWrap/>
            <w:vAlign w:val="center"/>
            <w:hideMark/>
          </w:tcPr>
          <w:p w14:paraId="7A73FBD6" w14:textId="77777777" w:rsidR="001237F7" w:rsidRPr="006F54CD" w:rsidRDefault="001237F7" w:rsidP="007F4660">
            <w:pPr>
              <w:spacing w:line="240" w:lineRule="auto"/>
            </w:pPr>
            <w:r w:rsidRPr="006F54CD">
              <w:t> </w:t>
            </w:r>
          </w:p>
        </w:tc>
        <w:tc>
          <w:tcPr>
            <w:tcW w:w="956" w:type="dxa"/>
            <w:tcBorders>
              <w:top w:val="nil"/>
              <w:left w:val="nil"/>
              <w:bottom w:val="single" w:sz="8" w:space="0" w:color="auto"/>
              <w:right w:val="nil"/>
            </w:tcBorders>
            <w:shd w:val="clear" w:color="000000" w:fill="FFFFFF"/>
            <w:noWrap/>
            <w:vAlign w:val="center"/>
            <w:hideMark/>
          </w:tcPr>
          <w:p w14:paraId="4E9133AE" w14:textId="77777777" w:rsidR="001237F7" w:rsidRPr="006F54CD" w:rsidRDefault="001237F7" w:rsidP="007F4660">
            <w:pPr>
              <w:spacing w:line="240" w:lineRule="auto"/>
            </w:pPr>
            <w:r w:rsidRPr="006F54CD">
              <w:t xml:space="preserve">Mean </w:t>
            </w:r>
            <w:r>
              <w:t>(</w:t>
            </w:r>
            <w:r w:rsidRPr="006F54CD">
              <w:t>%</w:t>
            </w:r>
            <w:r>
              <w:t>)</w:t>
            </w:r>
          </w:p>
        </w:tc>
        <w:tc>
          <w:tcPr>
            <w:tcW w:w="636" w:type="dxa"/>
            <w:tcBorders>
              <w:top w:val="nil"/>
              <w:left w:val="nil"/>
              <w:bottom w:val="single" w:sz="8" w:space="0" w:color="auto"/>
              <w:right w:val="nil"/>
            </w:tcBorders>
            <w:shd w:val="clear" w:color="000000" w:fill="FFFFFF"/>
            <w:noWrap/>
            <w:vAlign w:val="center"/>
            <w:hideMark/>
          </w:tcPr>
          <w:p w14:paraId="33788CA1" w14:textId="77777777" w:rsidR="001237F7" w:rsidRPr="006F54CD" w:rsidRDefault="001237F7" w:rsidP="007F4660">
            <w:pPr>
              <w:spacing w:line="240" w:lineRule="auto"/>
            </w:pPr>
            <w:r w:rsidRPr="006F54CD">
              <w:t>SD</w:t>
            </w:r>
          </w:p>
        </w:tc>
      </w:tr>
      <w:tr w:rsidR="00303F56" w:rsidRPr="006F54CD" w14:paraId="3EF7EF80" w14:textId="77777777" w:rsidTr="001237F7">
        <w:trPr>
          <w:trHeight w:val="510"/>
        </w:trPr>
        <w:tc>
          <w:tcPr>
            <w:tcW w:w="2140" w:type="dxa"/>
            <w:tcBorders>
              <w:top w:val="nil"/>
              <w:left w:val="nil"/>
              <w:bottom w:val="nil"/>
              <w:right w:val="nil"/>
            </w:tcBorders>
            <w:shd w:val="clear" w:color="000000" w:fill="FFFFFF"/>
            <w:vAlign w:val="center"/>
            <w:hideMark/>
          </w:tcPr>
          <w:p w14:paraId="4DFFF038" w14:textId="77777777" w:rsidR="001237F7" w:rsidRPr="006F54CD" w:rsidRDefault="001237F7" w:rsidP="007F4660">
            <w:pPr>
              <w:spacing w:line="240" w:lineRule="auto"/>
            </w:pPr>
            <w:r w:rsidRPr="006F54CD">
              <w:t>Total survey participation</w:t>
            </w:r>
          </w:p>
        </w:tc>
        <w:tc>
          <w:tcPr>
            <w:tcW w:w="956" w:type="dxa"/>
            <w:tcBorders>
              <w:top w:val="nil"/>
              <w:left w:val="nil"/>
              <w:bottom w:val="nil"/>
              <w:right w:val="nil"/>
            </w:tcBorders>
            <w:shd w:val="clear" w:color="000000" w:fill="FFFFFF"/>
            <w:vAlign w:val="center"/>
            <w:hideMark/>
          </w:tcPr>
          <w:p w14:paraId="6EAF6A5C" w14:textId="77777777" w:rsidR="001237F7" w:rsidRPr="006F54CD" w:rsidRDefault="001237F7" w:rsidP="007F4660">
            <w:pPr>
              <w:spacing w:line="240" w:lineRule="auto"/>
            </w:pPr>
            <w:r w:rsidRPr="006F54CD">
              <w:t>222</w:t>
            </w:r>
          </w:p>
        </w:tc>
        <w:tc>
          <w:tcPr>
            <w:tcW w:w="636" w:type="dxa"/>
            <w:tcBorders>
              <w:top w:val="nil"/>
              <w:left w:val="nil"/>
              <w:bottom w:val="nil"/>
              <w:right w:val="nil"/>
            </w:tcBorders>
            <w:shd w:val="clear" w:color="000000" w:fill="FFFFFF"/>
            <w:vAlign w:val="center"/>
            <w:hideMark/>
          </w:tcPr>
          <w:p w14:paraId="5A903957"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69F4AA6D"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6A3B000C" w14:textId="77777777" w:rsidR="001237F7" w:rsidRPr="006F54CD" w:rsidRDefault="001237F7" w:rsidP="007F4660">
            <w:pPr>
              <w:spacing w:line="240" w:lineRule="auto"/>
            </w:pPr>
            <w:r w:rsidRPr="006F54CD">
              <w:t>130</w:t>
            </w:r>
          </w:p>
        </w:tc>
        <w:tc>
          <w:tcPr>
            <w:tcW w:w="940" w:type="dxa"/>
            <w:tcBorders>
              <w:top w:val="nil"/>
              <w:left w:val="nil"/>
              <w:bottom w:val="nil"/>
              <w:right w:val="nil"/>
            </w:tcBorders>
            <w:shd w:val="clear" w:color="000000" w:fill="FFFFFF"/>
            <w:vAlign w:val="center"/>
            <w:hideMark/>
          </w:tcPr>
          <w:p w14:paraId="747DAE23"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148E767E"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38648A54" w14:textId="77777777" w:rsidR="001237F7" w:rsidRPr="006F54CD" w:rsidRDefault="001237F7" w:rsidP="007F4660">
            <w:pPr>
              <w:spacing w:line="240" w:lineRule="auto"/>
            </w:pPr>
            <w:r w:rsidRPr="006F54CD">
              <w:t>9</w:t>
            </w:r>
          </w:p>
        </w:tc>
        <w:tc>
          <w:tcPr>
            <w:tcW w:w="636" w:type="dxa"/>
            <w:tcBorders>
              <w:top w:val="nil"/>
              <w:left w:val="nil"/>
              <w:bottom w:val="nil"/>
              <w:right w:val="nil"/>
            </w:tcBorders>
            <w:shd w:val="clear" w:color="000000" w:fill="FFFFFF"/>
            <w:vAlign w:val="center"/>
            <w:hideMark/>
          </w:tcPr>
          <w:p w14:paraId="041B8818" w14:textId="77777777" w:rsidR="001237F7" w:rsidRPr="006F54CD" w:rsidRDefault="001237F7" w:rsidP="007F4660">
            <w:pPr>
              <w:spacing w:line="240" w:lineRule="auto"/>
            </w:pPr>
            <w:r w:rsidRPr="006F54CD">
              <w:t>---</w:t>
            </w:r>
          </w:p>
        </w:tc>
      </w:tr>
      <w:tr w:rsidR="00303F56" w:rsidRPr="006F54CD" w14:paraId="70E3F47B" w14:textId="77777777" w:rsidTr="001237F7">
        <w:trPr>
          <w:trHeight w:val="315"/>
        </w:trPr>
        <w:tc>
          <w:tcPr>
            <w:tcW w:w="2140" w:type="dxa"/>
            <w:tcBorders>
              <w:top w:val="nil"/>
              <w:left w:val="nil"/>
              <w:bottom w:val="nil"/>
              <w:right w:val="nil"/>
            </w:tcBorders>
            <w:shd w:val="clear" w:color="000000" w:fill="FFFFFF"/>
            <w:vAlign w:val="center"/>
            <w:hideMark/>
          </w:tcPr>
          <w:p w14:paraId="5FBDFA4D" w14:textId="77777777" w:rsidR="001237F7" w:rsidRPr="006F54CD" w:rsidRDefault="001237F7" w:rsidP="007F4660">
            <w:pPr>
              <w:spacing w:line="240" w:lineRule="auto"/>
            </w:pPr>
            <w:r w:rsidRPr="006F54CD">
              <w:t>Race/ethnicity</w:t>
            </w:r>
          </w:p>
        </w:tc>
        <w:tc>
          <w:tcPr>
            <w:tcW w:w="956" w:type="dxa"/>
            <w:tcBorders>
              <w:top w:val="nil"/>
              <w:left w:val="nil"/>
              <w:bottom w:val="nil"/>
              <w:right w:val="nil"/>
            </w:tcBorders>
            <w:shd w:val="clear" w:color="000000" w:fill="FFFFFF"/>
            <w:vAlign w:val="center"/>
            <w:hideMark/>
          </w:tcPr>
          <w:p w14:paraId="1638439A" w14:textId="77777777" w:rsidR="001237F7" w:rsidRPr="006F54CD" w:rsidRDefault="001237F7" w:rsidP="007F4660">
            <w:pPr>
              <w:spacing w:line="240" w:lineRule="auto"/>
            </w:pPr>
            <w:r w:rsidRPr="006F54CD">
              <w:t> </w:t>
            </w:r>
          </w:p>
        </w:tc>
        <w:tc>
          <w:tcPr>
            <w:tcW w:w="636" w:type="dxa"/>
            <w:tcBorders>
              <w:top w:val="nil"/>
              <w:left w:val="nil"/>
              <w:bottom w:val="nil"/>
              <w:right w:val="nil"/>
            </w:tcBorders>
            <w:shd w:val="clear" w:color="000000" w:fill="FFFFFF"/>
            <w:vAlign w:val="center"/>
            <w:hideMark/>
          </w:tcPr>
          <w:p w14:paraId="07862671" w14:textId="77777777" w:rsidR="001237F7" w:rsidRPr="006F54CD" w:rsidRDefault="001237F7" w:rsidP="007F4660">
            <w:pPr>
              <w:spacing w:line="240" w:lineRule="auto"/>
            </w:pPr>
            <w:r w:rsidRPr="006F54CD">
              <w:t> </w:t>
            </w:r>
          </w:p>
        </w:tc>
        <w:tc>
          <w:tcPr>
            <w:tcW w:w="920" w:type="dxa"/>
            <w:tcBorders>
              <w:top w:val="nil"/>
              <w:left w:val="nil"/>
              <w:bottom w:val="nil"/>
              <w:right w:val="nil"/>
            </w:tcBorders>
            <w:shd w:val="clear" w:color="000000" w:fill="FFFFFF"/>
            <w:noWrap/>
            <w:vAlign w:val="center"/>
            <w:hideMark/>
          </w:tcPr>
          <w:p w14:paraId="407D7912"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289A6DF9" w14:textId="77777777" w:rsidR="001237F7" w:rsidRPr="006F54CD" w:rsidRDefault="001237F7" w:rsidP="007F4660">
            <w:pPr>
              <w:spacing w:line="240" w:lineRule="auto"/>
            </w:pPr>
            <w:r w:rsidRPr="006F54CD">
              <w:t> </w:t>
            </w:r>
          </w:p>
        </w:tc>
        <w:tc>
          <w:tcPr>
            <w:tcW w:w="940" w:type="dxa"/>
            <w:tcBorders>
              <w:top w:val="nil"/>
              <w:left w:val="nil"/>
              <w:bottom w:val="nil"/>
              <w:right w:val="nil"/>
            </w:tcBorders>
            <w:shd w:val="clear" w:color="000000" w:fill="FFFFFF"/>
            <w:vAlign w:val="center"/>
            <w:hideMark/>
          </w:tcPr>
          <w:p w14:paraId="4779B968" w14:textId="77777777" w:rsidR="001237F7" w:rsidRPr="006F54CD" w:rsidRDefault="001237F7" w:rsidP="007F4660">
            <w:pPr>
              <w:spacing w:line="240" w:lineRule="auto"/>
            </w:pPr>
            <w:r w:rsidRPr="006F54CD">
              <w:t> </w:t>
            </w:r>
          </w:p>
        </w:tc>
        <w:tc>
          <w:tcPr>
            <w:tcW w:w="382" w:type="dxa"/>
            <w:tcBorders>
              <w:top w:val="nil"/>
              <w:left w:val="nil"/>
              <w:bottom w:val="nil"/>
              <w:right w:val="nil"/>
            </w:tcBorders>
            <w:shd w:val="clear" w:color="000000" w:fill="FFFFFF"/>
            <w:noWrap/>
            <w:vAlign w:val="center"/>
            <w:hideMark/>
          </w:tcPr>
          <w:p w14:paraId="23CA9D5B"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2F0365FB" w14:textId="77777777" w:rsidR="001237F7" w:rsidRPr="006F54CD" w:rsidRDefault="001237F7" w:rsidP="007F4660">
            <w:pPr>
              <w:spacing w:line="240" w:lineRule="auto"/>
            </w:pPr>
            <w:r w:rsidRPr="006F54CD">
              <w:t> </w:t>
            </w:r>
          </w:p>
        </w:tc>
        <w:tc>
          <w:tcPr>
            <w:tcW w:w="636" w:type="dxa"/>
            <w:tcBorders>
              <w:top w:val="nil"/>
              <w:left w:val="nil"/>
              <w:bottom w:val="nil"/>
              <w:right w:val="nil"/>
            </w:tcBorders>
            <w:shd w:val="clear" w:color="000000" w:fill="FFFFFF"/>
            <w:vAlign w:val="center"/>
            <w:hideMark/>
          </w:tcPr>
          <w:p w14:paraId="306C1152" w14:textId="77777777" w:rsidR="001237F7" w:rsidRPr="006F54CD" w:rsidRDefault="001237F7" w:rsidP="007F4660">
            <w:pPr>
              <w:spacing w:line="240" w:lineRule="auto"/>
            </w:pPr>
            <w:r w:rsidRPr="006F54CD">
              <w:t> </w:t>
            </w:r>
          </w:p>
        </w:tc>
      </w:tr>
      <w:tr w:rsidR="00303F56" w:rsidRPr="006F54CD" w14:paraId="643770F5" w14:textId="77777777" w:rsidTr="001237F7">
        <w:trPr>
          <w:trHeight w:val="315"/>
        </w:trPr>
        <w:tc>
          <w:tcPr>
            <w:tcW w:w="2140" w:type="dxa"/>
            <w:tcBorders>
              <w:top w:val="nil"/>
              <w:left w:val="nil"/>
              <w:bottom w:val="nil"/>
              <w:right w:val="nil"/>
            </w:tcBorders>
            <w:shd w:val="clear" w:color="000000" w:fill="FFFFFF"/>
            <w:vAlign w:val="center"/>
            <w:hideMark/>
          </w:tcPr>
          <w:p w14:paraId="296F12B7" w14:textId="77777777" w:rsidR="001237F7" w:rsidRPr="009974E0" w:rsidRDefault="001237F7" w:rsidP="007F4660">
            <w:pPr>
              <w:spacing w:line="240" w:lineRule="auto"/>
              <w:rPr>
                <w:vertAlign w:val="superscript"/>
              </w:rPr>
            </w:pPr>
            <w:r w:rsidRPr="006F54CD">
              <w:t xml:space="preserve">  </w:t>
            </w:r>
            <w:proofErr w:type="spellStart"/>
            <w:r w:rsidRPr="006F54CD">
              <w:t>White</w:t>
            </w:r>
            <w:r>
              <w:rPr>
                <w:vertAlign w:val="superscript"/>
              </w:rPr>
              <w:t>a</w:t>
            </w:r>
            <w:proofErr w:type="spellEnd"/>
          </w:p>
        </w:tc>
        <w:tc>
          <w:tcPr>
            <w:tcW w:w="956" w:type="dxa"/>
            <w:tcBorders>
              <w:top w:val="nil"/>
              <w:left w:val="nil"/>
              <w:bottom w:val="nil"/>
              <w:right w:val="nil"/>
            </w:tcBorders>
            <w:shd w:val="clear" w:color="000000" w:fill="FFFFFF"/>
            <w:vAlign w:val="center"/>
            <w:hideMark/>
          </w:tcPr>
          <w:p w14:paraId="252DC648" w14:textId="77777777" w:rsidR="001237F7" w:rsidRPr="006F54CD" w:rsidRDefault="001237F7" w:rsidP="007F4660">
            <w:pPr>
              <w:spacing w:line="240" w:lineRule="auto"/>
            </w:pPr>
            <w:r w:rsidRPr="006F54CD">
              <w:t>66.08%</w:t>
            </w:r>
          </w:p>
        </w:tc>
        <w:tc>
          <w:tcPr>
            <w:tcW w:w="636" w:type="dxa"/>
            <w:tcBorders>
              <w:top w:val="nil"/>
              <w:left w:val="nil"/>
              <w:bottom w:val="nil"/>
              <w:right w:val="nil"/>
            </w:tcBorders>
            <w:shd w:val="clear" w:color="000000" w:fill="FFFFFF"/>
            <w:vAlign w:val="center"/>
            <w:hideMark/>
          </w:tcPr>
          <w:p w14:paraId="681C7CCA"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27EC39E9"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2C766208" w14:textId="77777777" w:rsidR="001237F7" w:rsidRPr="006F54CD" w:rsidRDefault="001237F7" w:rsidP="007F4660">
            <w:pPr>
              <w:spacing w:line="240" w:lineRule="auto"/>
            </w:pPr>
            <w:r w:rsidRPr="006F54CD">
              <w:t>73.41%</w:t>
            </w:r>
          </w:p>
        </w:tc>
        <w:tc>
          <w:tcPr>
            <w:tcW w:w="940" w:type="dxa"/>
            <w:tcBorders>
              <w:top w:val="nil"/>
              <w:left w:val="nil"/>
              <w:bottom w:val="nil"/>
              <w:right w:val="nil"/>
            </w:tcBorders>
            <w:shd w:val="clear" w:color="000000" w:fill="FFFFFF"/>
            <w:vAlign w:val="center"/>
            <w:hideMark/>
          </w:tcPr>
          <w:p w14:paraId="549BA432"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71F70374"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2C4C6B8F" w14:textId="77777777" w:rsidR="001237F7" w:rsidRPr="006F54CD" w:rsidRDefault="001237F7" w:rsidP="007F4660">
            <w:pPr>
              <w:spacing w:line="240" w:lineRule="auto"/>
            </w:pPr>
            <w:r w:rsidRPr="006F54CD">
              <w:t>84.62%</w:t>
            </w:r>
          </w:p>
        </w:tc>
        <w:tc>
          <w:tcPr>
            <w:tcW w:w="636" w:type="dxa"/>
            <w:tcBorders>
              <w:top w:val="nil"/>
              <w:left w:val="nil"/>
              <w:bottom w:val="nil"/>
              <w:right w:val="nil"/>
            </w:tcBorders>
            <w:shd w:val="clear" w:color="000000" w:fill="FFFFFF"/>
            <w:vAlign w:val="center"/>
            <w:hideMark/>
          </w:tcPr>
          <w:p w14:paraId="0AC70E84" w14:textId="77777777" w:rsidR="001237F7" w:rsidRPr="006F54CD" w:rsidRDefault="001237F7" w:rsidP="007F4660">
            <w:pPr>
              <w:spacing w:line="240" w:lineRule="auto"/>
            </w:pPr>
            <w:r w:rsidRPr="006F54CD">
              <w:t>---</w:t>
            </w:r>
          </w:p>
        </w:tc>
      </w:tr>
      <w:tr w:rsidR="00303F56" w:rsidRPr="006F54CD" w14:paraId="635E94D8" w14:textId="77777777" w:rsidTr="001237F7">
        <w:trPr>
          <w:trHeight w:val="315"/>
        </w:trPr>
        <w:tc>
          <w:tcPr>
            <w:tcW w:w="2140" w:type="dxa"/>
            <w:tcBorders>
              <w:top w:val="nil"/>
              <w:left w:val="nil"/>
              <w:bottom w:val="nil"/>
              <w:right w:val="nil"/>
            </w:tcBorders>
            <w:shd w:val="clear" w:color="000000" w:fill="FFFFFF"/>
            <w:vAlign w:val="center"/>
            <w:hideMark/>
          </w:tcPr>
          <w:p w14:paraId="256D1EE7" w14:textId="77777777" w:rsidR="001237F7" w:rsidRPr="006F54CD" w:rsidRDefault="001237F7" w:rsidP="007F4660">
            <w:pPr>
              <w:spacing w:line="240" w:lineRule="auto"/>
            </w:pPr>
            <w:r w:rsidRPr="006F54CD">
              <w:t xml:space="preserve">  Black</w:t>
            </w:r>
          </w:p>
        </w:tc>
        <w:tc>
          <w:tcPr>
            <w:tcW w:w="956" w:type="dxa"/>
            <w:tcBorders>
              <w:top w:val="nil"/>
              <w:left w:val="nil"/>
              <w:bottom w:val="nil"/>
              <w:right w:val="nil"/>
            </w:tcBorders>
            <w:shd w:val="clear" w:color="000000" w:fill="FFFFFF"/>
            <w:vAlign w:val="center"/>
            <w:hideMark/>
          </w:tcPr>
          <w:p w14:paraId="66474BD9" w14:textId="77777777" w:rsidR="001237F7" w:rsidRPr="006F54CD" w:rsidRDefault="001237F7" w:rsidP="007F4660">
            <w:pPr>
              <w:spacing w:line="240" w:lineRule="auto"/>
            </w:pPr>
            <w:r w:rsidRPr="006F54CD">
              <w:t>26.86%</w:t>
            </w:r>
          </w:p>
        </w:tc>
        <w:tc>
          <w:tcPr>
            <w:tcW w:w="636" w:type="dxa"/>
            <w:tcBorders>
              <w:top w:val="nil"/>
              <w:left w:val="nil"/>
              <w:bottom w:val="nil"/>
              <w:right w:val="nil"/>
            </w:tcBorders>
            <w:shd w:val="clear" w:color="000000" w:fill="FFFFFF"/>
            <w:vAlign w:val="center"/>
            <w:hideMark/>
          </w:tcPr>
          <w:p w14:paraId="5835AC0E"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1E168854"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6178BFED" w14:textId="77777777" w:rsidR="001237F7" w:rsidRPr="006F54CD" w:rsidRDefault="001237F7" w:rsidP="007F4660">
            <w:pPr>
              <w:spacing w:line="240" w:lineRule="auto"/>
            </w:pPr>
            <w:r w:rsidRPr="006F54CD">
              <w:t>18.50%</w:t>
            </w:r>
          </w:p>
        </w:tc>
        <w:tc>
          <w:tcPr>
            <w:tcW w:w="940" w:type="dxa"/>
            <w:tcBorders>
              <w:top w:val="nil"/>
              <w:left w:val="nil"/>
              <w:bottom w:val="nil"/>
              <w:right w:val="nil"/>
            </w:tcBorders>
            <w:shd w:val="clear" w:color="000000" w:fill="FFFFFF"/>
            <w:noWrap/>
            <w:vAlign w:val="center"/>
            <w:hideMark/>
          </w:tcPr>
          <w:p w14:paraId="7067D6E3"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5AABC2F7"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0A636B5B" w14:textId="77777777" w:rsidR="001237F7" w:rsidRPr="006F54CD" w:rsidRDefault="001237F7" w:rsidP="007F4660">
            <w:pPr>
              <w:spacing w:line="240" w:lineRule="auto"/>
            </w:pPr>
            <w:r w:rsidRPr="006F54CD">
              <w:t>7.69%</w:t>
            </w:r>
          </w:p>
        </w:tc>
        <w:tc>
          <w:tcPr>
            <w:tcW w:w="636" w:type="dxa"/>
            <w:tcBorders>
              <w:top w:val="nil"/>
              <w:left w:val="nil"/>
              <w:bottom w:val="nil"/>
              <w:right w:val="nil"/>
            </w:tcBorders>
            <w:shd w:val="clear" w:color="000000" w:fill="FFFFFF"/>
            <w:noWrap/>
            <w:vAlign w:val="center"/>
            <w:hideMark/>
          </w:tcPr>
          <w:p w14:paraId="231A2B92" w14:textId="77777777" w:rsidR="001237F7" w:rsidRPr="006F54CD" w:rsidRDefault="001237F7" w:rsidP="007F4660">
            <w:pPr>
              <w:spacing w:line="240" w:lineRule="auto"/>
            </w:pPr>
            <w:r w:rsidRPr="006F54CD">
              <w:t>---</w:t>
            </w:r>
          </w:p>
        </w:tc>
      </w:tr>
      <w:tr w:rsidR="00303F56" w:rsidRPr="006F54CD" w14:paraId="16415C91" w14:textId="77777777" w:rsidTr="001237F7">
        <w:trPr>
          <w:trHeight w:val="315"/>
        </w:trPr>
        <w:tc>
          <w:tcPr>
            <w:tcW w:w="2140" w:type="dxa"/>
            <w:tcBorders>
              <w:top w:val="nil"/>
              <w:left w:val="nil"/>
              <w:bottom w:val="nil"/>
              <w:right w:val="nil"/>
            </w:tcBorders>
            <w:shd w:val="clear" w:color="000000" w:fill="FFFFFF"/>
            <w:vAlign w:val="center"/>
            <w:hideMark/>
          </w:tcPr>
          <w:p w14:paraId="1290B6FC" w14:textId="77777777" w:rsidR="001237F7" w:rsidRPr="006F54CD" w:rsidRDefault="001237F7" w:rsidP="007F4660">
            <w:pPr>
              <w:spacing w:line="240" w:lineRule="auto"/>
            </w:pPr>
            <w:r w:rsidRPr="006F54CD">
              <w:t xml:space="preserve">  Hispanic</w:t>
            </w:r>
          </w:p>
        </w:tc>
        <w:tc>
          <w:tcPr>
            <w:tcW w:w="956" w:type="dxa"/>
            <w:tcBorders>
              <w:top w:val="nil"/>
              <w:left w:val="nil"/>
              <w:bottom w:val="nil"/>
              <w:right w:val="nil"/>
            </w:tcBorders>
            <w:shd w:val="clear" w:color="000000" w:fill="FFFFFF"/>
            <w:vAlign w:val="center"/>
            <w:hideMark/>
          </w:tcPr>
          <w:p w14:paraId="54C8A44F" w14:textId="77777777" w:rsidR="001237F7" w:rsidRPr="006F54CD" w:rsidRDefault="001237F7" w:rsidP="007F4660">
            <w:pPr>
              <w:spacing w:line="240" w:lineRule="auto"/>
            </w:pPr>
            <w:r w:rsidRPr="006F54CD">
              <w:t>7.07%</w:t>
            </w:r>
          </w:p>
        </w:tc>
        <w:tc>
          <w:tcPr>
            <w:tcW w:w="636" w:type="dxa"/>
            <w:tcBorders>
              <w:top w:val="nil"/>
              <w:left w:val="nil"/>
              <w:bottom w:val="nil"/>
              <w:right w:val="nil"/>
            </w:tcBorders>
            <w:shd w:val="clear" w:color="000000" w:fill="FFFFFF"/>
            <w:vAlign w:val="center"/>
            <w:hideMark/>
          </w:tcPr>
          <w:p w14:paraId="30543E78"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2AED5E48"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6F46BE14" w14:textId="77777777" w:rsidR="001237F7" w:rsidRPr="006F54CD" w:rsidRDefault="001237F7" w:rsidP="007F4660">
            <w:pPr>
              <w:spacing w:line="240" w:lineRule="auto"/>
            </w:pPr>
            <w:r w:rsidRPr="006F54CD">
              <w:t>8.09%</w:t>
            </w:r>
          </w:p>
        </w:tc>
        <w:tc>
          <w:tcPr>
            <w:tcW w:w="940" w:type="dxa"/>
            <w:tcBorders>
              <w:top w:val="nil"/>
              <w:left w:val="nil"/>
              <w:bottom w:val="nil"/>
              <w:right w:val="nil"/>
            </w:tcBorders>
            <w:shd w:val="clear" w:color="000000" w:fill="FFFFFF"/>
            <w:vAlign w:val="center"/>
            <w:hideMark/>
          </w:tcPr>
          <w:p w14:paraId="07F701E0"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2A0FA48D"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35287536" w14:textId="77777777" w:rsidR="001237F7" w:rsidRPr="006F54CD" w:rsidRDefault="001237F7" w:rsidP="007F4660">
            <w:pPr>
              <w:spacing w:line="240" w:lineRule="auto"/>
            </w:pPr>
            <w:r w:rsidRPr="006F54CD">
              <w:t>7.69%</w:t>
            </w:r>
          </w:p>
        </w:tc>
        <w:tc>
          <w:tcPr>
            <w:tcW w:w="636" w:type="dxa"/>
            <w:tcBorders>
              <w:top w:val="nil"/>
              <w:left w:val="nil"/>
              <w:bottom w:val="nil"/>
              <w:right w:val="nil"/>
            </w:tcBorders>
            <w:shd w:val="clear" w:color="000000" w:fill="FFFFFF"/>
            <w:vAlign w:val="center"/>
            <w:hideMark/>
          </w:tcPr>
          <w:p w14:paraId="6C257719" w14:textId="77777777" w:rsidR="001237F7" w:rsidRPr="006F54CD" w:rsidRDefault="001237F7" w:rsidP="007F4660">
            <w:pPr>
              <w:spacing w:line="240" w:lineRule="auto"/>
            </w:pPr>
            <w:r w:rsidRPr="006F54CD">
              <w:t>---</w:t>
            </w:r>
          </w:p>
        </w:tc>
      </w:tr>
      <w:tr w:rsidR="00303F56" w:rsidRPr="006F54CD" w14:paraId="2F3599BE" w14:textId="77777777" w:rsidTr="001237F7">
        <w:trPr>
          <w:trHeight w:val="315"/>
        </w:trPr>
        <w:tc>
          <w:tcPr>
            <w:tcW w:w="2140" w:type="dxa"/>
            <w:tcBorders>
              <w:top w:val="nil"/>
              <w:left w:val="nil"/>
              <w:bottom w:val="nil"/>
              <w:right w:val="nil"/>
            </w:tcBorders>
            <w:shd w:val="clear" w:color="000000" w:fill="FFFFFF"/>
            <w:vAlign w:val="center"/>
            <w:hideMark/>
          </w:tcPr>
          <w:p w14:paraId="481470F5" w14:textId="77777777" w:rsidR="001237F7" w:rsidRPr="006F54CD" w:rsidRDefault="001237F7" w:rsidP="007F4660">
            <w:pPr>
              <w:spacing w:line="240" w:lineRule="auto"/>
            </w:pPr>
            <w:r w:rsidRPr="006F54CD">
              <w:t>Religion</w:t>
            </w:r>
          </w:p>
        </w:tc>
        <w:tc>
          <w:tcPr>
            <w:tcW w:w="956" w:type="dxa"/>
            <w:tcBorders>
              <w:top w:val="nil"/>
              <w:left w:val="nil"/>
              <w:bottom w:val="nil"/>
              <w:right w:val="nil"/>
            </w:tcBorders>
            <w:shd w:val="clear" w:color="000000" w:fill="FFFFFF"/>
            <w:vAlign w:val="center"/>
            <w:hideMark/>
          </w:tcPr>
          <w:p w14:paraId="533E4C88" w14:textId="77777777" w:rsidR="001237F7" w:rsidRPr="006F54CD" w:rsidRDefault="001237F7" w:rsidP="007F4660">
            <w:pPr>
              <w:spacing w:line="240" w:lineRule="auto"/>
            </w:pPr>
            <w:r w:rsidRPr="006F54CD">
              <w:t> </w:t>
            </w:r>
          </w:p>
        </w:tc>
        <w:tc>
          <w:tcPr>
            <w:tcW w:w="636" w:type="dxa"/>
            <w:tcBorders>
              <w:top w:val="nil"/>
              <w:left w:val="nil"/>
              <w:bottom w:val="nil"/>
              <w:right w:val="nil"/>
            </w:tcBorders>
            <w:shd w:val="clear" w:color="000000" w:fill="FFFFFF"/>
            <w:vAlign w:val="center"/>
            <w:hideMark/>
          </w:tcPr>
          <w:p w14:paraId="180ADBF8" w14:textId="77777777" w:rsidR="001237F7" w:rsidRPr="006F54CD" w:rsidRDefault="001237F7" w:rsidP="007F4660">
            <w:pPr>
              <w:spacing w:line="240" w:lineRule="auto"/>
            </w:pPr>
            <w:r w:rsidRPr="006F54CD">
              <w:t> </w:t>
            </w:r>
          </w:p>
        </w:tc>
        <w:tc>
          <w:tcPr>
            <w:tcW w:w="920" w:type="dxa"/>
            <w:tcBorders>
              <w:top w:val="nil"/>
              <w:left w:val="nil"/>
              <w:bottom w:val="nil"/>
              <w:right w:val="nil"/>
            </w:tcBorders>
            <w:shd w:val="clear" w:color="000000" w:fill="FFFFFF"/>
            <w:noWrap/>
            <w:vAlign w:val="center"/>
            <w:hideMark/>
          </w:tcPr>
          <w:p w14:paraId="73A57568"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2D961F74" w14:textId="77777777" w:rsidR="001237F7" w:rsidRPr="006F54CD" w:rsidRDefault="001237F7" w:rsidP="007F4660">
            <w:pPr>
              <w:spacing w:line="240" w:lineRule="auto"/>
            </w:pPr>
            <w:r w:rsidRPr="006F54CD">
              <w:t> </w:t>
            </w:r>
          </w:p>
        </w:tc>
        <w:tc>
          <w:tcPr>
            <w:tcW w:w="940" w:type="dxa"/>
            <w:tcBorders>
              <w:top w:val="nil"/>
              <w:left w:val="nil"/>
              <w:bottom w:val="nil"/>
              <w:right w:val="nil"/>
            </w:tcBorders>
            <w:shd w:val="clear" w:color="000000" w:fill="FFFFFF"/>
            <w:vAlign w:val="center"/>
            <w:hideMark/>
          </w:tcPr>
          <w:p w14:paraId="7341649A" w14:textId="77777777" w:rsidR="001237F7" w:rsidRPr="006F54CD" w:rsidRDefault="001237F7" w:rsidP="007F4660">
            <w:pPr>
              <w:spacing w:line="240" w:lineRule="auto"/>
            </w:pPr>
            <w:r w:rsidRPr="006F54CD">
              <w:t> </w:t>
            </w:r>
          </w:p>
        </w:tc>
        <w:tc>
          <w:tcPr>
            <w:tcW w:w="382" w:type="dxa"/>
            <w:tcBorders>
              <w:top w:val="nil"/>
              <w:left w:val="nil"/>
              <w:bottom w:val="nil"/>
              <w:right w:val="nil"/>
            </w:tcBorders>
            <w:shd w:val="clear" w:color="000000" w:fill="FFFFFF"/>
            <w:noWrap/>
            <w:vAlign w:val="center"/>
            <w:hideMark/>
          </w:tcPr>
          <w:p w14:paraId="2EBD6261"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3273F596" w14:textId="77777777" w:rsidR="001237F7" w:rsidRPr="006F54CD" w:rsidRDefault="001237F7" w:rsidP="007F4660">
            <w:pPr>
              <w:spacing w:line="240" w:lineRule="auto"/>
            </w:pPr>
            <w:r w:rsidRPr="006F54CD">
              <w:t> </w:t>
            </w:r>
          </w:p>
        </w:tc>
        <w:tc>
          <w:tcPr>
            <w:tcW w:w="636" w:type="dxa"/>
            <w:tcBorders>
              <w:top w:val="nil"/>
              <w:left w:val="nil"/>
              <w:bottom w:val="nil"/>
              <w:right w:val="nil"/>
            </w:tcBorders>
            <w:shd w:val="clear" w:color="000000" w:fill="FFFFFF"/>
            <w:vAlign w:val="center"/>
            <w:hideMark/>
          </w:tcPr>
          <w:p w14:paraId="25A146DF" w14:textId="77777777" w:rsidR="001237F7" w:rsidRPr="006F54CD" w:rsidRDefault="001237F7" w:rsidP="007F4660">
            <w:pPr>
              <w:spacing w:line="240" w:lineRule="auto"/>
            </w:pPr>
            <w:r w:rsidRPr="006F54CD">
              <w:t> </w:t>
            </w:r>
          </w:p>
        </w:tc>
      </w:tr>
      <w:tr w:rsidR="00303F56" w:rsidRPr="006F54CD" w14:paraId="077FD485" w14:textId="77777777" w:rsidTr="001237F7">
        <w:trPr>
          <w:trHeight w:val="315"/>
        </w:trPr>
        <w:tc>
          <w:tcPr>
            <w:tcW w:w="2140" w:type="dxa"/>
            <w:tcBorders>
              <w:top w:val="nil"/>
              <w:left w:val="nil"/>
              <w:bottom w:val="nil"/>
              <w:right w:val="nil"/>
            </w:tcBorders>
            <w:shd w:val="clear" w:color="000000" w:fill="FFFFFF"/>
            <w:vAlign w:val="center"/>
            <w:hideMark/>
          </w:tcPr>
          <w:p w14:paraId="2DD578B7" w14:textId="77777777" w:rsidR="001237F7" w:rsidRPr="006F54CD" w:rsidRDefault="001237F7" w:rsidP="007F4660">
            <w:pPr>
              <w:spacing w:line="240" w:lineRule="auto"/>
            </w:pPr>
            <w:r w:rsidRPr="006F54CD">
              <w:t xml:space="preserve">  Muslim</w:t>
            </w:r>
          </w:p>
        </w:tc>
        <w:tc>
          <w:tcPr>
            <w:tcW w:w="956" w:type="dxa"/>
            <w:tcBorders>
              <w:top w:val="nil"/>
              <w:left w:val="nil"/>
              <w:bottom w:val="nil"/>
              <w:right w:val="nil"/>
            </w:tcBorders>
            <w:shd w:val="clear" w:color="000000" w:fill="FFFFFF"/>
            <w:vAlign w:val="center"/>
            <w:hideMark/>
          </w:tcPr>
          <w:p w14:paraId="7184D720" w14:textId="77777777" w:rsidR="001237F7" w:rsidRPr="006F54CD" w:rsidRDefault="001237F7" w:rsidP="007F4660">
            <w:pPr>
              <w:spacing w:line="240" w:lineRule="auto"/>
            </w:pPr>
            <w:r w:rsidRPr="006F54CD">
              <w:t>4.59%</w:t>
            </w:r>
          </w:p>
        </w:tc>
        <w:tc>
          <w:tcPr>
            <w:tcW w:w="636" w:type="dxa"/>
            <w:tcBorders>
              <w:top w:val="nil"/>
              <w:left w:val="nil"/>
              <w:bottom w:val="nil"/>
              <w:right w:val="nil"/>
            </w:tcBorders>
            <w:shd w:val="clear" w:color="000000" w:fill="FFFFFF"/>
            <w:vAlign w:val="center"/>
            <w:hideMark/>
          </w:tcPr>
          <w:p w14:paraId="103DCDE1"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2E0FEFE7"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34734F7A" w14:textId="77777777" w:rsidR="001237F7" w:rsidRPr="006F54CD" w:rsidRDefault="001237F7" w:rsidP="007F4660">
            <w:pPr>
              <w:spacing w:line="240" w:lineRule="auto"/>
            </w:pPr>
            <w:r w:rsidRPr="006F54CD">
              <w:t>3.47%</w:t>
            </w:r>
          </w:p>
        </w:tc>
        <w:tc>
          <w:tcPr>
            <w:tcW w:w="940" w:type="dxa"/>
            <w:tcBorders>
              <w:top w:val="nil"/>
              <w:left w:val="nil"/>
              <w:bottom w:val="nil"/>
              <w:right w:val="nil"/>
            </w:tcBorders>
            <w:shd w:val="clear" w:color="000000" w:fill="FFFFFF"/>
            <w:vAlign w:val="center"/>
            <w:hideMark/>
          </w:tcPr>
          <w:p w14:paraId="46BCDE00"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569D884E"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7482FE29" w14:textId="77777777" w:rsidR="001237F7" w:rsidRPr="006F54CD" w:rsidRDefault="001237F7" w:rsidP="007F4660">
            <w:pPr>
              <w:spacing w:line="240" w:lineRule="auto"/>
            </w:pPr>
            <w:r w:rsidRPr="006F54CD">
              <w:t>0.00%</w:t>
            </w:r>
          </w:p>
        </w:tc>
        <w:tc>
          <w:tcPr>
            <w:tcW w:w="636" w:type="dxa"/>
            <w:tcBorders>
              <w:top w:val="nil"/>
              <w:left w:val="nil"/>
              <w:bottom w:val="nil"/>
              <w:right w:val="nil"/>
            </w:tcBorders>
            <w:shd w:val="clear" w:color="000000" w:fill="FFFFFF"/>
            <w:vAlign w:val="center"/>
            <w:hideMark/>
          </w:tcPr>
          <w:p w14:paraId="605D6553" w14:textId="77777777" w:rsidR="001237F7" w:rsidRPr="006F54CD" w:rsidRDefault="001237F7" w:rsidP="007F4660">
            <w:pPr>
              <w:spacing w:line="240" w:lineRule="auto"/>
            </w:pPr>
            <w:r w:rsidRPr="006F54CD">
              <w:t>---</w:t>
            </w:r>
          </w:p>
        </w:tc>
      </w:tr>
      <w:tr w:rsidR="00303F56" w:rsidRPr="006F54CD" w14:paraId="7A80ADD3" w14:textId="77777777" w:rsidTr="001237F7">
        <w:trPr>
          <w:trHeight w:val="315"/>
        </w:trPr>
        <w:tc>
          <w:tcPr>
            <w:tcW w:w="2140" w:type="dxa"/>
            <w:tcBorders>
              <w:top w:val="nil"/>
              <w:left w:val="nil"/>
              <w:bottom w:val="nil"/>
              <w:right w:val="nil"/>
            </w:tcBorders>
            <w:shd w:val="clear" w:color="000000" w:fill="FFFFFF"/>
            <w:vAlign w:val="center"/>
            <w:hideMark/>
          </w:tcPr>
          <w:p w14:paraId="30BDFEAA" w14:textId="77777777" w:rsidR="001237F7" w:rsidRPr="006F54CD" w:rsidRDefault="001237F7" w:rsidP="007F4660">
            <w:pPr>
              <w:spacing w:line="240" w:lineRule="auto"/>
            </w:pPr>
            <w:r w:rsidRPr="006F54CD">
              <w:t xml:space="preserve">  Catholic</w:t>
            </w:r>
          </w:p>
        </w:tc>
        <w:tc>
          <w:tcPr>
            <w:tcW w:w="956" w:type="dxa"/>
            <w:tcBorders>
              <w:top w:val="nil"/>
              <w:left w:val="nil"/>
              <w:bottom w:val="nil"/>
              <w:right w:val="nil"/>
            </w:tcBorders>
            <w:shd w:val="clear" w:color="000000" w:fill="FFFFFF"/>
            <w:vAlign w:val="center"/>
            <w:hideMark/>
          </w:tcPr>
          <w:p w14:paraId="03DF8F69" w14:textId="77777777" w:rsidR="001237F7" w:rsidRPr="006F54CD" w:rsidRDefault="001237F7" w:rsidP="007F4660">
            <w:pPr>
              <w:spacing w:line="240" w:lineRule="auto"/>
            </w:pPr>
            <w:r w:rsidRPr="006F54CD">
              <w:t>23.32%</w:t>
            </w:r>
          </w:p>
        </w:tc>
        <w:tc>
          <w:tcPr>
            <w:tcW w:w="636" w:type="dxa"/>
            <w:tcBorders>
              <w:top w:val="nil"/>
              <w:left w:val="nil"/>
              <w:bottom w:val="nil"/>
              <w:right w:val="nil"/>
            </w:tcBorders>
            <w:shd w:val="clear" w:color="000000" w:fill="FFFFFF"/>
            <w:vAlign w:val="center"/>
            <w:hideMark/>
          </w:tcPr>
          <w:p w14:paraId="328D65D8"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7588D9DF"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1E1B2804" w14:textId="77777777" w:rsidR="001237F7" w:rsidRPr="006F54CD" w:rsidRDefault="001237F7" w:rsidP="007F4660">
            <w:pPr>
              <w:spacing w:line="240" w:lineRule="auto"/>
            </w:pPr>
            <w:r w:rsidRPr="006F54CD">
              <w:t>23.12%</w:t>
            </w:r>
          </w:p>
        </w:tc>
        <w:tc>
          <w:tcPr>
            <w:tcW w:w="940" w:type="dxa"/>
            <w:tcBorders>
              <w:top w:val="nil"/>
              <w:left w:val="nil"/>
              <w:bottom w:val="nil"/>
              <w:right w:val="nil"/>
            </w:tcBorders>
            <w:shd w:val="clear" w:color="000000" w:fill="FFFFFF"/>
            <w:vAlign w:val="center"/>
            <w:hideMark/>
          </w:tcPr>
          <w:p w14:paraId="12DAD96D"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70D3F85F"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center"/>
            <w:hideMark/>
          </w:tcPr>
          <w:p w14:paraId="0EEC432F" w14:textId="77777777" w:rsidR="001237F7" w:rsidRPr="006F54CD" w:rsidRDefault="001237F7" w:rsidP="007F4660">
            <w:pPr>
              <w:spacing w:line="240" w:lineRule="auto"/>
            </w:pPr>
            <w:r w:rsidRPr="006F54CD">
              <w:t>7.69%</w:t>
            </w:r>
          </w:p>
        </w:tc>
        <w:tc>
          <w:tcPr>
            <w:tcW w:w="636" w:type="dxa"/>
            <w:tcBorders>
              <w:top w:val="nil"/>
              <w:left w:val="nil"/>
              <w:bottom w:val="nil"/>
              <w:right w:val="nil"/>
            </w:tcBorders>
            <w:shd w:val="clear" w:color="000000" w:fill="FFFFFF"/>
            <w:vAlign w:val="center"/>
            <w:hideMark/>
          </w:tcPr>
          <w:p w14:paraId="18DA207E" w14:textId="77777777" w:rsidR="001237F7" w:rsidRPr="006F54CD" w:rsidRDefault="001237F7" w:rsidP="007F4660">
            <w:pPr>
              <w:spacing w:line="240" w:lineRule="auto"/>
            </w:pPr>
            <w:r w:rsidRPr="006F54CD">
              <w:t>---</w:t>
            </w:r>
          </w:p>
        </w:tc>
      </w:tr>
      <w:tr w:rsidR="00303F56" w:rsidRPr="006F54CD" w14:paraId="22529261" w14:textId="77777777" w:rsidTr="001237F7">
        <w:trPr>
          <w:trHeight w:val="315"/>
        </w:trPr>
        <w:tc>
          <w:tcPr>
            <w:tcW w:w="2140" w:type="dxa"/>
            <w:tcBorders>
              <w:top w:val="nil"/>
              <w:left w:val="nil"/>
              <w:bottom w:val="nil"/>
              <w:right w:val="nil"/>
            </w:tcBorders>
            <w:shd w:val="clear" w:color="000000" w:fill="FFFFFF"/>
            <w:vAlign w:val="center"/>
            <w:hideMark/>
          </w:tcPr>
          <w:p w14:paraId="1453F59F" w14:textId="77777777" w:rsidR="001237F7" w:rsidRPr="006F54CD" w:rsidRDefault="001237F7" w:rsidP="007F4660">
            <w:pPr>
              <w:spacing w:line="240" w:lineRule="auto"/>
            </w:pPr>
            <w:r w:rsidRPr="006F54CD">
              <w:t xml:space="preserve">  Protestant</w:t>
            </w:r>
          </w:p>
        </w:tc>
        <w:tc>
          <w:tcPr>
            <w:tcW w:w="956" w:type="dxa"/>
            <w:tcBorders>
              <w:top w:val="nil"/>
              <w:left w:val="nil"/>
              <w:bottom w:val="nil"/>
              <w:right w:val="nil"/>
            </w:tcBorders>
            <w:shd w:val="clear" w:color="000000" w:fill="FFFFFF"/>
            <w:vAlign w:val="center"/>
            <w:hideMark/>
          </w:tcPr>
          <w:p w14:paraId="74028CF5" w14:textId="77777777" w:rsidR="001237F7" w:rsidRPr="006F54CD" w:rsidRDefault="001237F7" w:rsidP="007F4660">
            <w:pPr>
              <w:spacing w:line="240" w:lineRule="auto"/>
            </w:pPr>
            <w:r w:rsidRPr="006F54CD">
              <w:t>49.12%</w:t>
            </w:r>
          </w:p>
        </w:tc>
        <w:tc>
          <w:tcPr>
            <w:tcW w:w="636" w:type="dxa"/>
            <w:tcBorders>
              <w:top w:val="nil"/>
              <w:left w:val="nil"/>
              <w:bottom w:val="nil"/>
              <w:right w:val="nil"/>
            </w:tcBorders>
            <w:shd w:val="clear" w:color="000000" w:fill="FFFFFF"/>
            <w:vAlign w:val="center"/>
            <w:hideMark/>
          </w:tcPr>
          <w:p w14:paraId="20E68CB1"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47B0152D"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49294600" w14:textId="77777777" w:rsidR="001237F7" w:rsidRPr="006F54CD" w:rsidRDefault="001237F7" w:rsidP="007F4660">
            <w:pPr>
              <w:spacing w:line="240" w:lineRule="auto"/>
            </w:pPr>
            <w:r w:rsidRPr="006F54CD">
              <w:t>48.55%</w:t>
            </w:r>
          </w:p>
        </w:tc>
        <w:tc>
          <w:tcPr>
            <w:tcW w:w="940" w:type="dxa"/>
            <w:tcBorders>
              <w:top w:val="nil"/>
              <w:left w:val="nil"/>
              <w:bottom w:val="nil"/>
              <w:right w:val="nil"/>
            </w:tcBorders>
            <w:shd w:val="clear" w:color="000000" w:fill="FFFFFF"/>
            <w:vAlign w:val="center"/>
            <w:hideMark/>
          </w:tcPr>
          <w:p w14:paraId="4F6F41FE"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7A439EDD"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0F326C37" w14:textId="77777777" w:rsidR="001237F7" w:rsidRPr="006F54CD" w:rsidRDefault="001237F7" w:rsidP="007F4660">
            <w:pPr>
              <w:spacing w:line="240" w:lineRule="auto"/>
            </w:pPr>
            <w:r w:rsidRPr="006F54CD">
              <w:t>46.15%</w:t>
            </w:r>
          </w:p>
        </w:tc>
        <w:tc>
          <w:tcPr>
            <w:tcW w:w="636" w:type="dxa"/>
            <w:tcBorders>
              <w:top w:val="nil"/>
              <w:left w:val="nil"/>
              <w:bottom w:val="nil"/>
              <w:right w:val="nil"/>
            </w:tcBorders>
            <w:shd w:val="clear" w:color="000000" w:fill="FFFFFF"/>
            <w:vAlign w:val="center"/>
            <w:hideMark/>
          </w:tcPr>
          <w:p w14:paraId="1C6E2B10" w14:textId="77777777" w:rsidR="001237F7" w:rsidRPr="006F54CD" w:rsidRDefault="001237F7" w:rsidP="007F4660">
            <w:pPr>
              <w:spacing w:line="240" w:lineRule="auto"/>
            </w:pPr>
            <w:r w:rsidRPr="006F54CD">
              <w:t>---</w:t>
            </w:r>
          </w:p>
        </w:tc>
      </w:tr>
      <w:tr w:rsidR="00303F56" w:rsidRPr="006F54CD" w14:paraId="02131C94" w14:textId="77777777" w:rsidTr="001237F7">
        <w:trPr>
          <w:trHeight w:val="315"/>
        </w:trPr>
        <w:tc>
          <w:tcPr>
            <w:tcW w:w="2140" w:type="dxa"/>
            <w:tcBorders>
              <w:top w:val="nil"/>
              <w:left w:val="nil"/>
              <w:bottom w:val="nil"/>
              <w:right w:val="nil"/>
            </w:tcBorders>
            <w:shd w:val="clear" w:color="000000" w:fill="FFFFFF"/>
            <w:vAlign w:val="center"/>
            <w:hideMark/>
          </w:tcPr>
          <w:p w14:paraId="6A63623C" w14:textId="77777777" w:rsidR="001237F7" w:rsidRPr="006F54CD" w:rsidRDefault="001237F7" w:rsidP="007F4660">
            <w:pPr>
              <w:spacing w:line="240" w:lineRule="auto"/>
            </w:pPr>
            <w:r w:rsidRPr="006F54CD">
              <w:t xml:space="preserve">  Other</w:t>
            </w:r>
          </w:p>
        </w:tc>
        <w:tc>
          <w:tcPr>
            <w:tcW w:w="956" w:type="dxa"/>
            <w:tcBorders>
              <w:top w:val="nil"/>
              <w:left w:val="nil"/>
              <w:bottom w:val="nil"/>
              <w:right w:val="nil"/>
            </w:tcBorders>
            <w:shd w:val="clear" w:color="000000" w:fill="FFFFFF"/>
            <w:vAlign w:val="center"/>
            <w:hideMark/>
          </w:tcPr>
          <w:p w14:paraId="01BC8067" w14:textId="77777777" w:rsidR="001237F7" w:rsidRPr="006F54CD" w:rsidRDefault="001237F7" w:rsidP="007F4660">
            <w:pPr>
              <w:spacing w:line="240" w:lineRule="auto"/>
            </w:pPr>
            <w:r w:rsidRPr="006F54CD">
              <w:t>7.70%</w:t>
            </w:r>
          </w:p>
        </w:tc>
        <w:tc>
          <w:tcPr>
            <w:tcW w:w="636" w:type="dxa"/>
            <w:tcBorders>
              <w:top w:val="nil"/>
              <w:left w:val="nil"/>
              <w:bottom w:val="nil"/>
              <w:right w:val="nil"/>
            </w:tcBorders>
            <w:shd w:val="clear" w:color="000000" w:fill="FFFFFF"/>
            <w:vAlign w:val="center"/>
            <w:hideMark/>
          </w:tcPr>
          <w:p w14:paraId="37969269"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267B9952"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6EB59ABB" w14:textId="77777777" w:rsidR="001237F7" w:rsidRPr="006F54CD" w:rsidRDefault="001237F7" w:rsidP="007F4660">
            <w:pPr>
              <w:spacing w:line="240" w:lineRule="auto"/>
            </w:pPr>
            <w:r w:rsidRPr="006F54CD">
              <w:t>7.52%</w:t>
            </w:r>
          </w:p>
        </w:tc>
        <w:tc>
          <w:tcPr>
            <w:tcW w:w="940" w:type="dxa"/>
            <w:tcBorders>
              <w:top w:val="nil"/>
              <w:left w:val="nil"/>
              <w:bottom w:val="nil"/>
              <w:right w:val="nil"/>
            </w:tcBorders>
            <w:shd w:val="clear" w:color="000000" w:fill="FFFFFF"/>
            <w:vAlign w:val="center"/>
            <w:hideMark/>
          </w:tcPr>
          <w:p w14:paraId="47FDDDC3"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713155FB"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0CBC7DB7" w14:textId="77777777" w:rsidR="001237F7" w:rsidRPr="006F54CD" w:rsidRDefault="001237F7" w:rsidP="007F4660">
            <w:pPr>
              <w:spacing w:line="240" w:lineRule="auto"/>
            </w:pPr>
            <w:r w:rsidRPr="006F54CD">
              <w:t>7.69%</w:t>
            </w:r>
          </w:p>
        </w:tc>
        <w:tc>
          <w:tcPr>
            <w:tcW w:w="636" w:type="dxa"/>
            <w:tcBorders>
              <w:top w:val="nil"/>
              <w:left w:val="nil"/>
              <w:bottom w:val="nil"/>
              <w:right w:val="nil"/>
            </w:tcBorders>
            <w:shd w:val="clear" w:color="000000" w:fill="FFFFFF"/>
            <w:vAlign w:val="center"/>
            <w:hideMark/>
          </w:tcPr>
          <w:p w14:paraId="362F8EF4" w14:textId="77777777" w:rsidR="001237F7" w:rsidRPr="006F54CD" w:rsidRDefault="001237F7" w:rsidP="007F4660">
            <w:pPr>
              <w:spacing w:line="240" w:lineRule="auto"/>
            </w:pPr>
            <w:r w:rsidRPr="006F54CD">
              <w:t>---</w:t>
            </w:r>
          </w:p>
        </w:tc>
      </w:tr>
      <w:tr w:rsidR="00303F56" w:rsidRPr="006F54CD" w14:paraId="37CCE612" w14:textId="77777777" w:rsidTr="001237F7">
        <w:trPr>
          <w:trHeight w:val="315"/>
        </w:trPr>
        <w:tc>
          <w:tcPr>
            <w:tcW w:w="2140" w:type="dxa"/>
            <w:tcBorders>
              <w:top w:val="nil"/>
              <w:left w:val="nil"/>
              <w:bottom w:val="nil"/>
              <w:right w:val="nil"/>
            </w:tcBorders>
            <w:shd w:val="clear" w:color="000000" w:fill="FFFFFF"/>
            <w:vAlign w:val="center"/>
            <w:hideMark/>
          </w:tcPr>
          <w:p w14:paraId="67100D7D" w14:textId="77777777" w:rsidR="001237F7" w:rsidRPr="006F54CD" w:rsidRDefault="001237F7" w:rsidP="007F4660">
            <w:pPr>
              <w:spacing w:line="240" w:lineRule="auto"/>
            </w:pPr>
            <w:r w:rsidRPr="006F54CD">
              <w:t xml:space="preserve">  None</w:t>
            </w:r>
          </w:p>
        </w:tc>
        <w:tc>
          <w:tcPr>
            <w:tcW w:w="956" w:type="dxa"/>
            <w:tcBorders>
              <w:top w:val="nil"/>
              <w:left w:val="nil"/>
              <w:bottom w:val="nil"/>
              <w:right w:val="nil"/>
            </w:tcBorders>
            <w:shd w:val="clear" w:color="000000" w:fill="FFFFFF"/>
            <w:vAlign w:val="center"/>
            <w:hideMark/>
          </w:tcPr>
          <w:p w14:paraId="6DE2609B" w14:textId="77777777" w:rsidR="001237F7" w:rsidRPr="006F54CD" w:rsidRDefault="001237F7" w:rsidP="007F4660">
            <w:pPr>
              <w:spacing w:line="240" w:lineRule="auto"/>
            </w:pPr>
            <w:r w:rsidRPr="006F54CD">
              <w:t>8.83%</w:t>
            </w:r>
          </w:p>
        </w:tc>
        <w:tc>
          <w:tcPr>
            <w:tcW w:w="636" w:type="dxa"/>
            <w:tcBorders>
              <w:top w:val="nil"/>
              <w:left w:val="nil"/>
              <w:bottom w:val="nil"/>
              <w:right w:val="nil"/>
            </w:tcBorders>
            <w:shd w:val="clear" w:color="000000" w:fill="FFFFFF"/>
            <w:vAlign w:val="center"/>
            <w:hideMark/>
          </w:tcPr>
          <w:p w14:paraId="20A0FF3D"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5B6C9469"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6F866465" w14:textId="77777777" w:rsidR="001237F7" w:rsidRPr="006F54CD" w:rsidRDefault="001237F7" w:rsidP="007F4660">
            <w:pPr>
              <w:spacing w:line="240" w:lineRule="auto"/>
            </w:pPr>
            <w:r w:rsidRPr="006F54CD">
              <w:t>10.40%</w:t>
            </w:r>
          </w:p>
        </w:tc>
        <w:tc>
          <w:tcPr>
            <w:tcW w:w="940" w:type="dxa"/>
            <w:tcBorders>
              <w:top w:val="nil"/>
              <w:left w:val="nil"/>
              <w:bottom w:val="nil"/>
              <w:right w:val="nil"/>
            </w:tcBorders>
            <w:shd w:val="clear" w:color="000000" w:fill="FFFFFF"/>
            <w:vAlign w:val="center"/>
            <w:hideMark/>
          </w:tcPr>
          <w:p w14:paraId="11C6783F"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05FFBE9D"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3F404994" w14:textId="77777777" w:rsidR="001237F7" w:rsidRPr="006F54CD" w:rsidRDefault="001237F7" w:rsidP="007F4660">
            <w:pPr>
              <w:spacing w:line="240" w:lineRule="auto"/>
            </w:pPr>
            <w:r w:rsidRPr="006F54CD">
              <w:t>23.08%</w:t>
            </w:r>
          </w:p>
        </w:tc>
        <w:tc>
          <w:tcPr>
            <w:tcW w:w="636" w:type="dxa"/>
            <w:tcBorders>
              <w:top w:val="nil"/>
              <w:left w:val="nil"/>
              <w:bottom w:val="nil"/>
              <w:right w:val="nil"/>
            </w:tcBorders>
            <w:shd w:val="clear" w:color="000000" w:fill="FFFFFF"/>
            <w:vAlign w:val="center"/>
            <w:hideMark/>
          </w:tcPr>
          <w:p w14:paraId="2053839E" w14:textId="77777777" w:rsidR="001237F7" w:rsidRPr="006F54CD" w:rsidRDefault="001237F7" w:rsidP="007F4660">
            <w:pPr>
              <w:spacing w:line="240" w:lineRule="auto"/>
            </w:pPr>
            <w:r w:rsidRPr="006F54CD">
              <w:t>---</w:t>
            </w:r>
          </w:p>
        </w:tc>
      </w:tr>
      <w:tr w:rsidR="00303F56" w:rsidRPr="006F54CD" w14:paraId="090C692F" w14:textId="77777777" w:rsidTr="001237F7">
        <w:trPr>
          <w:trHeight w:val="315"/>
        </w:trPr>
        <w:tc>
          <w:tcPr>
            <w:tcW w:w="2140" w:type="dxa"/>
            <w:tcBorders>
              <w:top w:val="nil"/>
              <w:left w:val="nil"/>
              <w:bottom w:val="nil"/>
              <w:right w:val="nil"/>
            </w:tcBorders>
            <w:shd w:val="clear" w:color="000000" w:fill="FFFFFF"/>
            <w:vAlign w:val="center"/>
            <w:hideMark/>
          </w:tcPr>
          <w:p w14:paraId="23DFBEB2" w14:textId="77777777" w:rsidR="001237F7" w:rsidRPr="006F54CD" w:rsidRDefault="001237F7" w:rsidP="007F4660">
            <w:pPr>
              <w:spacing w:line="240" w:lineRule="auto"/>
            </w:pPr>
            <w:r w:rsidRPr="006F54CD">
              <w:t xml:space="preserve">  Missing</w:t>
            </w:r>
          </w:p>
        </w:tc>
        <w:tc>
          <w:tcPr>
            <w:tcW w:w="956" w:type="dxa"/>
            <w:tcBorders>
              <w:top w:val="nil"/>
              <w:left w:val="nil"/>
              <w:bottom w:val="nil"/>
              <w:right w:val="nil"/>
            </w:tcBorders>
            <w:shd w:val="clear" w:color="000000" w:fill="FFFFFF"/>
            <w:vAlign w:val="center"/>
            <w:hideMark/>
          </w:tcPr>
          <w:p w14:paraId="59A37A4B" w14:textId="77777777" w:rsidR="001237F7" w:rsidRPr="006F54CD" w:rsidRDefault="001237F7" w:rsidP="007F4660">
            <w:pPr>
              <w:spacing w:line="240" w:lineRule="auto"/>
            </w:pPr>
            <w:r w:rsidRPr="006F54CD">
              <w:t>6.36%</w:t>
            </w:r>
          </w:p>
        </w:tc>
        <w:tc>
          <w:tcPr>
            <w:tcW w:w="636" w:type="dxa"/>
            <w:tcBorders>
              <w:top w:val="nil"/>
              <w:left w:val="nil"/>
              <w:bottom w:val="nil"/>
              <w:right w:val="nil"/>
            </w:tcBorders>
            <w:shd w:val="clear" w:color="000000" w:fill="FFFFFF"/>
            <w:vAlign w:val="center"/>
            <w:hideMark/>
          </w:tcPr>
          <w:p w14:paraId="6F9781F5" w14:textId="77777777" w:rsidR="001237F7" w:rsidRPr="006F54CD" w:rsidRDefault="001237F7" w:rsidP="007F4660">
            <w:pPr>
              <w:spacing w:line="240" w:lineRule="auto"/>
            </w:pPr>
            <w:r w:rsidRPr="006F54CD">
              <w:t>---</w:t>
            </w:r>
          </w:p>
        </w:tc>
        <w:tc>
          <w:tcPr>
            <w:tcW w:w="920" w:type="dxa"/>
            <w:tcBorders>
              <w:top w:val="nil"/>
              <w:left w:val="nil"/>
              <w:bottom w:val="nil"/>
              <w:right w:val="nil"/>
            </w:tcBorders>
            <w:shd w:val="clear" w:color="000000" w:fill="FFFFFF"/>
            <w:noWrap/>
            <w:vAlign w:val="center"/>
            <w:hideMark/>
          </w:tcPr>
          <w:p w14:paraId="226197BB"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1506A100" w14:textId="77777777" w:rsidR="001237F7" w:rsidRPr="006F54CD" w:rsidRDefault="001237F7" w:rsidP="007F4660">
            <w:pPr>
              <w:spacing w:line="240" w:lineRule="auto"/>
            </w:pPr>
            <w:r w:rsidRPr="006F54CD">
              <w:t>6.94%</w:t>
            </w:r>
          </w:p>
        </w:tc>
        <w:tc>
          <w:tcPr>
            <w:tcW w:w="940" w:type="dxa"/>
            <w:tcBorders>
              <w:top w:val="nil"/>
              <w:left w:val="nil"/>
              <w:bottom w:val="nil"/>
              <w:right w:val="nil"/>
            </w:tcBorders>
            <w:shd w:val="clear" w:color="000000" w:fill="FFFFFF"/>
            <w:vAlign w:val="center"/>
            <w:hideMark/>
          </w:tcPr>
          <w:p w14:paraId="3A5B3C17" w14:textId="77777777" w:rsidR="001237F7" w:rsidRPr="006F54CD" w:rsidRDefault="001237F7" w:rsidP="007F4660">
            <w:pPr>
              <w:spacing w:line="240" w:lineRule="auto"/>
            </w:pPr>
            <w:r w:rsidRPr="006F54CD">
              <w:t>---</w:t>
            </w:r>
          </w:p>
        </w:tc>
        <w:tc>
          <w:tcPr>
            <w:tcW w:w="382" w:type="dxa"/>
            <w:tcBorders>
              <w:top w:val="nil"/>
              <w:left w:val="nil"/>
              <w:bottom w:val="nil"/>
              <w:right w:val="nil"/>
            </w:tcBorders>
            <w:shd w:val="clear" w:color="000000" w:fill="FFFFFF"/>
            <w:noWrap/>
            <w:vAlign w:val="center"/>
            <w:hideMark/>
          </w:tcPr>
          <w:p w14:paraId="591D15F2"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vAlign w:val="center"/>
            <w:hideMark/>
          </w:tcPr>
          <w:p w14:paraId="4BDFCBB7" w14:textId="77777777" w:rsidR="001237F7" w:rsidRPr="006F54CD" w:rsidRDefault="001237F7" w:rsidP="007F4660">
            <w:pPr>
              <w:spacing w:line="240" w:lineRule="auto"/>
            </w:pPr>
            <w:r w:rsidRPr="006F54CD">
              <w:t>15.38%</w:t>
            </w:r>
          </w:p>
        </w:tc>
        <w:tc>
          <w:tcPr>
            <w:tcW w:w="636" w:type="dxa"/>
            <w:tcBorders>
              <w:top w:val="nil"/>
              <w:left w:val="nil"/>
              <w:bottom w:val="nil"/>
              <w:right w:val="nil"/>
            </w:tcBorders>
            <w:shd w:val="clear" w:color="000000" w:fill="FFFFFF"/>
            <w:vAlign w:val="center"/>
            <w:hideMark/>
          </w:tcPr>
          <w:p w14:paraId="63970D69" w14:textId="77777777" w:rsidR="001237F7" w:rsidRPr="006F54CD" w:rsidRDefault="001237F7" w:rsidP="007F4660">
            <w:pPr>
              <w:spacing w:line="240" w:lineRule="auto"/>
            </w:pPr>
            <w:r w:rsidRPr="006F54CD">
              <w:t>---</w:t>
            </w:r>
          </w:p>
        </w:tc>
      </w:tr>
      <w:tr w:rsidR="00303F56" w:rsidRPr="006F54CD" w14:paraId="5D838F95" w14:textId="77777777" w:rsidTr="001237F7">
        <w:trPr>
          <w:trHeight w:val="315"/>
        </w:trPr>
        <w:tc>
          <w:tcPr>
            <w:tcW w:w="2140" w:type="dxa"/>
            <w:tcBorders>
              <w:top w:val="nil"/>
              <w:left w:val="nil"/>
              <w:bottom w:val="nil"/>
              <w:right w:val="nil"/>
            </w:tcBorders>
            <w:shd w:val="clear" w:color="000000" w:fill="FFFFFF"/>
            <w:vAlign w:val="center"/>
            <w:hideMark/>
          </w:tcPr>
          <w:p w14:paraId="1E37F073" w14:textId="77777777" w:rsidR="001237F7" w:rsidRPr="006F54CD" w:rsidRDefault="001237F7" w:rsidP="007F4660">
            <w:pPr>
              <w:spacing w:line="240" w:lineRule="auto"/>
            </w:pPr>
            <w:r w:rsidRPr="006F54CD">
              <w:t>Offense gravity score</w:t>
            </w:r>
          </w:p>
        </w:tc>
        <w:tc>
          <w:tcPr>
            <w:tcW w:w="956" w:type="dxa"/>
            <w:tcBorders>
              <w:top w:val="nil"/>
              <w:left w:val="nil"/>
              <w:bottom w:val="nil"/>
              <w:right w:val="nil"/>
            </w:tcBorders>
            <w:shd w:val="clear" w:color="000000" w:fill="FFFFFF"/>
            <w:noWrap/>
            <w:vAlign w:val="bottom"/>
            <w:hideMark/>
          </w:tcPr>
          <w:p w14:paraId="63103C19" w14:textId="77777777" w:rsidR="001237F7" w:rsidRPr="006F54CD" w:rsidRDefault="001237F7" w:rsidP="007F4660">
            <w:pPr>
              <w:spacing w:line="240" w:lineRule="auto"/>
            </w:pPr>
            <w:r w:rsidRPr="006F54CD">
              <w:t>9.91</w:t>
            </w:r>
          </w:p>
        </w:tc>
        <w:tc>
          <w:tcPr>
            <w:tcW w:w="636" w:type="dxa"/>
            <w:tcBorders>
              <w:top w:val="nil"/>
              <w:left w:val="nil"/>
              <w:bottom w:val="nil"/>
              <w:right w:val="nil"/>
            </w:tcBorders>
            <w:shd w:val="clear" w:color="000000" w:fill="FFFFFF"/>
            <w:noWrap/>
            <w:vAlign w:val="bottom"/>
            <w:hideMark/>
          </w:tcPr>
          <w:p w14:paraId="00DE8080" w14:textId="77777777" w:rsidR="001237F7" w:rsidRPr="006F54CD" w:rsidRDefault="001237F7" w:rsidP="007F4660">
            <w:pPr>
              <w:spacing w:line="240" w:lineRule="auto"/>
            </w:pPr>
            <w:r w:rsidRPr="006F54CD">
              <w:t>4.88</w:t>
            </w:r>
          </w:p>
        </w:tc>
        <w:tc>
          <w:tcPr>
            <w:tcW w:w="920" w:type="dxa"/>
            <w:tcBorders>
              <w:top w:val="nil"/>
              <w:left w:val="nil"/>
              <w:bottom w:val="nil"/>
              <w:right w:val="nil"/>
            </w:tcBorders>
            <w:shd w:val="clear" w:color="000000" w:fill="FFFFFF"/>
            <w:noWrap/>
            <w:vAlign w:val="bottom"/>
            <w:hideMark/>
          </w:tcPr>
          <w:p w14:paraId="72F453D0"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bottom"/>
            <w:hideMark/>
          </w:tcPr>
          <w:p w14:paraId="22403DF0" w14:textId="77777777" w:rsidR="001237F7" w:rsidRPr="006F54CD" w:rsidRDefault="001237F7" w:rsidP="007F4660">
            <w:pPr>
              <w:spacing w:line="240" w:lineRule="auto"/>
            </w:pPr>
            <w:r w:rsidRPr="006F54CD">
              <w:t>7.60</w:t>
            </w:r>
          </w:p>
        </w:tc>
        <w:tc>
          <w:tcPr>
            <w:tcW w:w="940" w:type="dxa"/>
            <w:tcBorders>
              <w:top w:val="nil"/>
              <w:left w:val="nil"/>
              <w:bottom w:val="nil"/>
              <w:right w:val="nil"/>
            </w:tcBorders>
            <w:shd w:val="clear" w:color="000000" w:fill="FFFFFF"/>
            <w:noWrap/>
            <w:vAlign w:val="bottom"/>
            <w:hideMark/>
          </w:tcPr>
          <w:p w14:paraId="1594EA72" w14:textId="77777777" w:rsidR="001237F7" w:rsidRPr="006F54CD" w:rsidRDefault="001237F7" w:rsidP="007F4660">
            <w:pPr>
              <w:spacing w:line="240" w:lineRule="auto"/>
            </w:pPr>
            <w:r w:rsidRPr="006F54CD">
              <w:t>3.76</w:t>
            </w:r>
          </w:p>
        </w:tc>
        <w:tc>
          <w:tcPr>
            <w:tcW w:w="382" w:type="dxa"/>
            <w:tcBorders>
              <w:top w:val="nil"/>
              <w:left w:val="nil"/>
              <w:bottom w:val="nil"/>
              <w:right w:val="nil"/>
            </w:tcBorders>
            <w:shd w:val="clear" w:color="000000" w:fill="FFFFFF"/>
            <w:noWrap/>
            <w:vAlign w:val="bottom"/>
            <w:hideMark/>
          </w:tcPr>
          <w:p w14:paraId="0CF2CB1E"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bottom"/>
            <w:hideMark/>
          </w:tcPr>
          <w:p w14:paraId="5966FE1C" w14:textId="77777777" w:rsidR="001237F7" w:rsidRPr="006F54CD" w:rsidRDefault="001237F7" w:rsidP="007F4660">
            <w:pPr>
              <w:spacing w:line="240" w:lineRule="auto"/>
            </w:pPr>
            <w:r w:rsidRPr="006F54CD">
              <w:t>5.23</w:t>
            </w:r>
          </w:p>
        </w:tc>
        <w:tc>
          <w:tcPr>
            <w:tcW w:w="636" w:type="dxa"/>
            <w:tcBorders>
              <w:top w:val="nil"/>
              <w:left w:val="nil"/>
              <w:bottom w:val="nil"/>
              <w:right w:val="nil"/>
            </w:tcBorders>
            <w:shd w:val="clear" w:color="000000" w:fill="FFFFFF"/>
            <w:noWrap/>
            <w:vAlign w:val="bottom"/>
            <w:hideMark/>
          </w:tcPr>
          <w:p w14:paraId="5F2F6B8F" w14:textId="77777777" w:rsidR="001237F7" w:rsidRPr="006F54CD" w:rsidRDefault="001237F7" w:rsidP="007F4660">
            <w:pPr>
              <w:spacing w:line="240" w:lineRule="auto"/>
            </w:pPr>
            <w:r w:rsidRPr="006F54CD">
              <w:t>3.11</w:t>
            </w:r>
          </w:p>
        </w:tc>
      </w:tr>
      <w:tr w:rsidR="00303F56" w:rsidRPr="006F54CD" w14:paraId="13F0EC9E" w14:textId="77777777" w:rsidTr="001237F7">
        <w:trPr>
          <w:trHeight w:val="315"/>
        </w:trPr>
        <w:tc>
          <w:tcPr>
            <w:tcW w:w="2140" w:type="dxa"/>
            <w:tcBorders>
              <w:top w:val="nil"/>
              <w:left w:val="nil"/>
              <w:bottom w:val="nil"/>
              <w:right w:val="nil"/>
            </w:tcBorders>
            <w:shd w:val="clear" w:color="000000" w:fill="FFFFFF"/>
            <w:vAlign w:val="center"/>
            <w:hideMark/>
          </w:tcPr>
          <w:p w14:paraId="249034F3" w14:textId="77777777" w:rsidR="001237F7" w:rsidRPr="006F54CD" w:rsidRDefault="001237F7" w:rsidP="007F4660">
            <w:pPr>
              <w:spacing w:line="240" w:lineRule="auto"/>
            </w:pPr>
            <w:r w:rsidRPr="006F54CD">
              <w:t>Age (years)</w:t>
            </w:r>
          </w:p>
        </w:tc>
        <w:tc>
          <w:tcPr>
            <w:tcW w:w="956" w:type="dxa"/>
            <w:tcBorders>
              <w:top w:val="nil"/>
              <w:left w:val="nil"/>
              <w:bottom w:val="nil"/>
              <w:right w:val="nil"/>
            </w:tcBorders>
            <w:shd w:val="clear" w:color="000000" w:fill="FFFFFF"/>
            <w:noWrap/>
            <w:vAlign w:val="bottom"/>
            <w:hideMark/>
          </w:tcPr>
          <w:p w14:paraId="4B4C02CD" w14:textId="77777777" w:rsidR="001237F7" w:rsidRPr="006F54CD" w:rsidRDefault="001237F7" w:rsidP="007F4660">
            <w:pPr>
              <w:spacing w:line="240" w:lineRule="auto"/>
            </w:pPr>
            <w:r w:rsidRPr="006F54CD">
              <w:t>43.7</w:t>
            </w:r>
          </w:p>
        </w:tc>
        <w:tc>
          <w:tcPr>
            <w:tcW w:w="636" w:type="dxa"/>
            <w:tcBorders>
              <w:top w:val="nil"/>
              <w:left w:val="nil"/>
              <w:bottom w:val="nil"/>
              <w:right w:val="nil"/>
            </w:tcBorders>
            <w:shd w:val="clear" w:color="000000" w:fill="FFFFFF"/>
            <w:noWrap/>
            <w:vAlign w:val="bottom"/>
            <w:hideMark/>
          </w:tcPr>
          <w:p w14:paraId="3E1458FA" w14:textId="77777777" w:rsidR="001237F7" w:rsidRPr="006F54CD" w:rsidRDefault="001237F7" w:rsidP="007F4660">
            <w:pPr>
              <w:spacing w:line="240" w:lineRule="auto"/>
            </w:pPr>
            <w:r w:rsidRPr="006F54CD">
              <w:t>12.1</w:t>
            </w:r>
          </w:p>
        </w:tc>
        <w:tc>
          <w:tcPr>
            <w:tcW w:w="920" w:type="dxa"/>
            <w:tcBorders>
              <w:top w:val="nil"/>
              <w:left w:val="nil"/>
              <w:bottom w:val="nil"/>
              <w:right w:val="nil"/>
            </w:tcBorders>
            <w:shd w:val="clear" w:color="000000" w:fill="FFFFFF"/>
            <w:noWrap/>
            <w:vAlign w:val="bottom"/>
            <w:hideMark/>
          </w:tcPr>
          <w:p w14:paraId="2DA634E1"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bottom"/>
            <w:hideMark/>
          </w:tcPr>
          <w:p w14:paraId="5C476F35" w14:textId="77777777" w:rsidR="001237F7" w:rsidRPr="006F54CD" w:rsidRDefault="001237F7" w:rsidP="007F4660">
            <w:pPr>
              <w:spacing w:line="240" w:lineRule="auto"/>
            </w:pPr>
            <w:r w:rsidRPr="006F54CD">
              <w:t>41.89</w:t>
            </w:r>
          </w:p>
        </w:tc>
        <w:tc>
          <w:tcPr>
            <w:tcW w:w="940" w:type="dxa"/>
            <w:tcBorders>
              <w:top w:val="nil"/>
              <w:left w:val="nil"/>
              <w:bottom w:val="nil"/>
              <w:right w:val="nil"/>
            </w:tcBorders>
            <w:shd w:val="clear" w:color="000000" w:fill="FFFFFF"/>
            <w:noWrap/>
            <w:vAlign w:val="bottom"/>
            <w:hideMark/>
          </w:tcPr>
          <w:p w14:paraId="3B822B6E" w14:textId="77777777" w:rsidR="001237F7" w:rsidRPr="006F54CD" w:rsidRDefault="001237F7" w:rsidP="007F4660">
            <w:pPr>
              <w:spacing w:line="240" w:lineRule="auto"/>
            </w:pPr>
            <w:r w:rsidRPr="006F54CD">
              <w:t>11.04</w:t>
            </w:r>
          </w:p>
        </w:tc>
        <w:tc>
          <w:tcPr>
            <w:tcW w:w="382" w:type="dxa"/>
            <w:tcBorders>
              <w:top w:val="nil"/>
              <w:left w:val="nil"/>
              <w:bottom w:val="nil"/>
              <w:right w:val="nil"/>
            </w:tcBorders>
            <w:shd w:val="clear" w:color="000000" w:fill="FFFFFF"/>
            <w:noWrap/>
            <w:vAlign w:val="bottom"/>
            <w:hideMark/>
          </w:tcPr>
          <w:p w14:paraId="0BC8F960"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bottom"/>
            <w:hideMark/>
          </w:tcPr>
          <w:p w14:paraId="38138642" w14:textId="77777777" w:rsidR="001237F7" w:rsidRPr="006F54CD" w:rsidRDefault="001237F7" w:rsidP="007F4660">
            <w:pPr>
              <w:spacing w:line="240" w:lineRule="auto"/>
            </w:pPr>
            <w:r w:rsidRPr="006F54CD">
              <w:t>31.23</w:t>
            </w:r>
          </w:p>
        </w:tc>
        <w:tc>
          <w:tcPr>
            <w:tcW w:w="636" w:type="dxa"/>
            <w:tcBorders>
              <w:top w:val="nil"/>
              <w:left w:val="nil"/>
              <w:bottom w:val="nil"/>
              <w:right w:val="nil"/>
            </w:tcBorders>
            <w:shd w:val="clear" w:color="000000" w:fill="FFFFFF"/>
            <w:noWrap/>
            <w:vAlign w:val="bottom"/>
            <w:hideMark/>
          </w:tcPr>
          <w:p w14:paraId="60125629" w14:textId="77777777" w:rsidR="001237F7" w:rsidRPr="006F54CD" w:rsidRDefault="001237F7" w:rsidP="007F4660">
            <w:pPr>
              <w:spacing w:line="240" w:lineRule="auto"/>
            </w:pPr>
            <w:r w:rsidRPr="006F54CD">
              <w:t>5.14</w:t>
            </w:r>
          </w:p>
        </w:tc>
      </w:tr>
      <w:tr w:rsidR="00303F56" w:rsidRPr="006F54CD" w14:paraId="0849DCFC" w14:textId="77777777" w:rsidTr="001237F7">
        <w:trPr>
          <w:trHeight w:val="315"/>
        </w:trPr>
        <w:tc>
          <w:tcPr>
            <w:tcW w:w="2140" w:type="dxa"/>
            <w:tcBorders>
              <w:top w:val="nil"/>
              <w:left w:val="nil"/>
              <w:bottom w:val="nil"/>
              <w:right w:val="nil"/>
            </w:tcBorders>
            <w:shd w:val="clear" w:color="000000" w:fill="FFFFFF"/>
            <w:vAlign w:val="center"/>
            <w:hideMark/>
          </w:tcPr>
          <w:p w14:paraId="6655F691" w14:textId="77777777" w:rsidR="001237F7" w:rsidRPr="006F54CD" w:rsidRDefault="001237F7" w:rsidP="007F4660">
            <w:pPr>
              <w:spacing w:line="240" w:lineRule="auto"/>
            </w:pPr>
            <w:r w:rsidRPr="006F54CD">
              <w:t>Time in prison (years)</w:t>
            </w:r>
          </w:p>
        </w:tc>
        <w:tc>
          <w:tcPr>
            <w:tcW w:w="956" w:type="dxa"/>
            <w:tcBorders>
              <w:top w:val="nil"/>
              <w:left w:val="nil"/>
              <w:bottom w:val="nil"/>
              <w:right w:val="nil"/>
            </w:tcBorders>
            <w:shd w:val="clear" w:color="000000" w:fill="FFFFFF"/>
            <w:noWrap/>
            <w:vAlign w:val="bottom"/>
            <w:hideMark/>
          </w:tcPr>
          <w:p w14:paraId="0AE11416" w14:textId="77777777" w:rsidR="001237F7" w:rsidRPr="006F54CD" w:rsidRDefault="001237F7" w:rsidP="007F4660">
            <w:pPr>
              <w:spacing w:line="240" w:lineRule="auto"/>
            </w:pPr>
            <w:r w:rsidRPr="006F54CD">
              <w:t>7.2</w:t>
            </w:r>
          </w:p>
        </w:tc>
        <w:tc>
          <w:tcPr>
            <w:tcW w:w="636" w:type="dxa"/>
            <w:tcBorders>
              <w:top w:val="nil"/>
              <w:left w:val="nil"/>
              <w:bottom w:val="nil"/>
              <w:right w:val="nil"/>
            </w:tcBorders>
            <w:shd w:val="clear" w:color="000000" w:fill="FFFFFF"/>
            <w:noWrap/>
            <w:vAlign w:val="bottom"/>
            <w:hideMark/>
          </w:tcPr>
          <w:p w14:paraId="77CC49AF" w14:textId="77777777" w:rsidR="001237F7" w:rsidRPr="006F54CD" w:rsidRDefault="001237F7" w:rsidP="007F4660">
            <w:pPr>
              <w:spacing w:line="240" w:lineRule="auto"/>
            </w:pPr>
            <w:r w:rsidRPr="006F54CD">
              <w:t>9.36</w:t>
            </w:r>
          </w:p>
        </w:tc>
        <w:tc>
          <w:tcPr>
            <w:tcW w:w="920" w:type="dxa"/>
            <w:tcBorders>
              <w:top w:val="nil"/>
              <w:left w:val="nil"/>
              <w:bottom w:val="nil"/>
              <w:right w:val="nil"/>
            </w:tcBorders>
            <w:shd w:val="clear" w:color="000000" w:fill="FFFFFF"/>
            <w:noWrap/>
            <w:vAlign w:val="bottom"/>
            <w:hideMark/>
          </w:tcPr>
          <w:p w14:paraId="7333B987"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bottom"/>
            <w:hideMark/>
          </w:tcPr>
          <w:p w14:paraId="22617318" w14:textId="77777777" w:rsidR="001237F7" w:rsidRPr="006F54CD" w:rsidRDefault="001237F7" w:rsidP="007F4660">
            <w:pPr>
              <w:spacing w:line="240" w:lineRule="auto"/>
            </w:pPr>
            <w:r w:rsidRPr="006F54CD">
              <w:t>4.21</w:t>
            </w:r>
          </w:p>
        </w:tc>
        <w:tc>
          <w:tcPr>
            <w:tcW w:w="940" w:type="dxa"/>
            <w:tcBorders>
              <w:top w:val="nil"/>
              <w:left w:val="nil"/>
              <w:bottom w:val="nil"/>
              <w:right w:val="nil"/>
            </w:tcBorders>
            <w:shd w:val="clear" w:color="000000" w:fill="FFFFFF"/>
            <w:noWrap/>
            <w:vAlign w:val="bottom"/>
            <w:hideMark/>
          </w:tcPr>
          <w:p w14:paraId="0F892DB9" w14:textId="77777777" w:rsidR="001237F7" w:rsidRPr="006F54CD" w:rsidRDefault="001237F7" w:rsidP="007F4660">
            <w:pPr>
              <w:spacing w:line="240" w:lineRule="auto"/>
            </w:pPr>
            <w:r w:rsidRPr="006F54CD">
              <w:t>6.30</w:t>
            </w:r>
          </w:p>
        </w:tc>
        <w:tc>
          <w:tcPr>
            <w:tcW w:w="382" w:type="dxa"/>
            <w:tcBorders>
              <w:top w:val="nil"/>
              <w:left w:val="nil"/>
              <w:bottom w:val="nil"/>
              <w:right w:val="nil"/>
            </w:tcBorders>
            <w:shd w:val="clear" w:color="000000" w:fill="FFFFFF"/>
            <w:noWrap/>
            <w:vAlign w:val="bottom"/>
            <w:hideMark/>
          </w:tcPr>
          <w:p w14:paraId="1CABC90F" w14:textId="77777777" w:rsidR="001237F7" w:rsidRPr="006F54CD" w:rsidRDefault="001237F7" w:rsidP="007F4660">
            <w:pPr>
              <w:spacing w:line="240" w:lineRule="auto"/>
            </w:pPr>
            <w:r w:rsidRPr="006F54CD">
              <w:t> </w:t>
            </w:r>
          </w:p>
        </w:tc>
        <w:tc>
          <w:tcPr>
            <w:tcW w:w="956" w:type="dxa"/>
            <w:tcBorders>
              <w:top w:val="nil"/>
              <w:left w:val="nil"/>
              <w:bottom w:val="nil"/>
              <w:right w:val="nil"/>
            </w:tcBorders>
            <w:shd w:val="clear" w:color="000000" w:fill="FFFFFF"/>
            <w:noWrap/>
            <w:vAlign w:val="bottom"/>
            <w:hideMark/>
          </w:tcPr>
          <w:p w14:paraId="054CF66E" w14:textId="77777777" w:rsidR="001237F7" w:rsidRPr="006F54CD" w:rsidRDefault="001237F7" w:rsidP="007F4660">
            <w:pPr>
              <w:spacing w:line="240" w:lineRule="auto"/>
            </w:pPr>
            <w:r w:rsidRPr="006F54CD">
              <w:t>2.23</w:t>
            </w:r>
          </w:p>
        </w:tc>
        <w:tc>
          <w:tcPr>
            <w:tcW w:w="636" w:type="dxa"/>
            <w:tcBorders>
              <w:top w:val="nil"/>
              <w:left w:val="nil"/>
              <w:bottom w:val="nil"/>
              <w:right w:val="nil"/>
            </w:tcBorders>
            <w:shd w:val="clear" w:color="000000" w:fill="FFFFFF"/>
            <w:noWrap/>
            <w:vAlign w:val="bottom"/>
            <w:hideMark/>
          </w:tcPr>
          <w:p w14:paraId="7496935A" w14:textId="77777777" w:rsidR="001237F7" w:rsidRPr="006F54CD" w:rsidRDefault="001237F7" w:rsidP="007F4660">
            <w:pPr>
              <w:spacing w:line="240" w:lineRule="auto"/>
            </w:pPr>
            <w:r w:rsidRPr="006F54CD">
              <w:t>1.45</w:t>
            </w:r>
          </w:p>
        </w:tc>
      </w:tr>
      <w:tr w:rsidR="00303F56" w:rsidRPr="006F54CD" w14:paraId="589F51D4" w14:textId="77777777" w:rsidTr="001237F7">
        <w:trPr>
          <w:trHeight w:val="330"/>
        </w:trPr>
        <w:tc>
          <w:tcPr>
            <w:tcW w:w="2140" w:type="dxa"/>
            <w:tcBorders>
              <w:top w:val="nil"/>
              <w:left w:val="nil"/>
              <w:bottom w:val="single" w:sz="8" w:space="0" w:color="auto"/>
              <w:right w:val="nil"/>
            </w:tcBorders>
            <w:shd w:val="clear" w:color="000000" w:fill="FFFFFF"/>
            <w:vAlign w:val="center"/>
            <w:hideMark/>
          </w:tcPr>
          <w:p w14:paraId="44BFF740" w14:textId="77777777" w:rsidR="001237F7" w:rsidRPr="006F54CD" w:rsidRDefault="001237F7" w:rsidP="007F4660">
            <w:pPr>
              <w:spacing w:line="240" w:lineRule="auto"/>
            </w:pPr>
            <w:r w:rsidRPr="006F54CD">
              <w:t>Time on unit (years)</w:t>
            </w:r>
          </w:p>
        </w:tc>
        <w:tc>
          <w:tcPr>
            <w:tcW w:w="956" w:type="dxa"/>
            <w:tcBorders>
              <w:top w:val="nil"/>
              <w:left w:val="nil"/>
              <w:bottom w:val="single" w:sz="8" w:space="0" w:color="auto"/>
              <w:right w:val="nil"/>
            </w:tcBorders>
            <w:shd w:val="clear" w:color="000000" w:fill="FFFFFF"/>
            <w:noWrap/>
            <w:vAlign w:val="bottom"/>
            <w:hideMark/>
          </w:tcPr>
          <w:p w14:paraId="137D1EAE" w14:textId="77777777" w:rsidR="001237F7" w:rsidRPr="006F54CD" w:rsidRDefault="001237F7" w:rsidP="007F4660">
            <w:pPr>
              <w:spacing w:line="240" w:lineRule="auto"/>
            </w:pPr>
            <w:r w:rsidRPr="006F54CD">
              <w:t>2.18</w:t>
            </w:r>
          </w:p>
        </w:tc>
        <w:tc>
          <w:tcPr>
            <w:tcW w:w="636" w:type="dxa"/>
            <w:tcBorders>
              <w:top w:val="nil"/>
              <w:left w:val="nil"/>
              <w:bottom w:val="single" w:sz="8" w:space="0" w:color="auto"/>
              <w:right w:val="nil"/>
            </w:tcBorders>
            <w:shd w:val="clear" w:color="000000" w:fill="FFFFFF"/>
            <w:noWrap/>
            <w:vAlign w:val="bottom"/>
            <w:hideMark/>
          </w:tcPr>
          <w:p w14:paraId="420EB72D" w14:textId="77777777" w:rsidR="001237F7" w:rsidRPr="006F54CD" w:rsidRDefault="001237F7" w:rsidP="007F4660">
            <w:pPr>
              <w:spacing w:line="240" w:lineRule="auto"/>
            </w:pPr>
            <w:r w:rsidRPr="006F54CD">
              <w:t>3.27</w:t>
            </w:r>
          </w:p>
        </w:tc>
        <w:tc>
          <w:tcPr>
            <w:tcW w:w="920" w:type="dxa"/>
            <w:tcBorders>
              <w:top w:val="nil"/>
              <w:left w:val="nil"/>
              <w:bottom w:val="single" w:sz="8" w:space="0" w:color="auto"/>
              <w:right w:val="nil"/>
            </w:tcBorders>
            <w:shd w:val="clear" w:color="000000" w:fill="FFFFFF"/>
            <w:noWrap/>
            <w:vAlign w:val="bottom"/>
            <w:hideMark/>
          </w:tcPr>
          <w:p w14:paraId="49961B81" w14:textId="77777777" w:rsidR="001237F7" w:rsidRPr="006F54CD" w:rsidRDefault="001237F7" w:rsidP="007F4660">
            <w:pPr>
              <w:spacing w:line="240" w:lineRule="auto"/>
            </w:pPr>
            <w:r w:rsidRPr="006F54CD">
              <w:t> </w:t>
            </w:r>
          </w:p>
        </w:tc>
        <w:tc>
          <w:tcPr>
            <w:tcW w:w="956" w:type="dxa"/>
            <w:tcBorders>
              <w:top w:val="nil"/>
              <w:left w:val="nil"/>
              <w:bottom w:val="single" w:sz="8" w:space="0" w:color="auto"/>
              <w:right w:val="nil"/>
            </w:tcBorders>
            <w:shd w:val="clear" w:color="000000" w:fill="FFFFFF"/>
            <w:noWrap/>
            <w:vAlign w:val="bottom"/>
            <w:hideMark/>
          </w:tcPr>
          <w:p w14:paraId="1EA9FBC2" w14:textId="77777777" w:rsidR="001237F7" w:rsidRPr="006F54CD" w:rsidRDefault="001237F7" w:rsidP="007F4660">
            <w:pPr>
              <w:spacing w:line="240" w:lineRule="auto"/>
            </w:pPr>
            <w:r w:rsidRPr="006F54CD">
              <w:t>1.38</w:t>
            </w:r>
          </w:p>
        </w:tc>
        <w:tc>
          <w:tcPr>
            <w:tcW w:w="940" w:type="dxa"/>
            <w:tcBorders>
              <w:top w:val="nil"/>
              <w:left w:val="nil"/>
              <w:bottom w:val="single" w:sz="8" w:space="0" w:color="auto"/>
              <w:right w:val="nil"/>
            </w:tcBorders>
            <w:shd w:val="clear" w:color="000000" w:fill="FFFFFF"/>
            <w:noWrap/>
            <w:vAlign w:val="bottom"/>
            <w:hideMark/>
          </w:tcPr>
          <w:p w14:paraId="7A2BF76C" w14:textId="77777777" w:rsidR="001237F7" w:rsidRPr="006F54CD" w:rsidRDefault="001237F7" w:rsidP="007F4660">
            <w:pPr>
              <w:spacing w:line="240" w:lineRule="auto"/>
            </w:pPr>
            <w:r w:rsidRPr="006F54CD">
              <w:t>2.64</w:t>
            </w:r>
          </w:p>
        </w:tc>
        <w:tc>
          <w:tcPr>
            <w:tcW w:w="382" w:type="dxa"/>
            <w:tcBorders>
              <w:top w:val="nil"/>
              <w:left w:val="nil"/>
              <w:bottom w:val="single" w:sz="8" w:space="0" w:color="auto"/>
              <w:right w:val="nil"/>
            </w:tcBorders>
            <w:shd w:val="clear" w:color="000000" w:fill="FFFFFF"/>
            <w:noWrap/>
            <w:vAlign w:val="bottom"/>
            <w:hideMark/>
          </w:tcPr>
          <w:p w14:paraId="03BFE20C" w14:textId="77777777" w:rsidR="001237F7" w:rsidRPr="006F54CD" w:rsidRDefault="001237F7" w:rsidP="007F4660">
            <w:pPr>
              <w:spacing w:line="240" w:lineRule="auto"/>
            </w:pPr>
            <w:r w:rsidRPr="006F54CD">
              <w:t> </w:t>
            </w:r>
          </w:p>
        </w:tc>
        <w:tc>
          <w:tcPr>
            <w:tcW w:w="956" w:type="dxa"/>
            <w:tcBorders>
              <w:top w:val="nil"/>
              <w:left w:val="nil"/>
              <w:bottom w:val="single" w:sz="8" w:space="0" w:color="auto"/>
              <w:right w:val="nil"/>
            </w:tcBorders>
            <w:shd w:val="clear" w:color="000000" w:fill="FFFFFF"/>
            <w:noWrap/>
            <w:vAlign w:val="bottom"/>
            <w:hideMark/>
          </w:tcPr>
          <w:p w14:paraId="734FAAEA" w14:textId="77777777" w:rsidR="001237F7" w:rsidRPr="006F54CD" w:rsidRDefault="001237F7" w:rsidP="007F4660">
            <w:pPr>
              <w:spacing w:line="240" w:lineRule="auto"/>
            </w:pPr>
            <w:r w:rsidRPr="006F54CD">
              <w:t>0.13</w:t>
            </w:r>
          </w:p>
        </w:tc>
        <w:tc>
          <w:tcPr>
            <w:tcW w:w="636" w:type="dxa"/>
            <w:tcBorders>
              <w:top w:val="nil"/>
              <w:left w:val="nil"/>
              <w:bottom w:val="single" w:sz="8" w:space="0" w:color="auto"/>
              <w:right w:val="nil"/>
            </w:tcBorders>
            <w:shd w:val="clear" w:color="000000" w:fill="FFFFFF"/>
            <w:noWrap/>
            <w:vAlign w:val="bottom"/>
            <w:hideMark/>
          </w:tcPr>
          <w:p w14:paraId="525CDAED" w14:textId="77777777" w:rsidR="001237F7" w:rsidRPr="006F54CD" w:rsidRDefault="001237F7" w:rsidP="007F4660">
            <w:pPr>
              <w:spacing w:line="240" w:lineRule="auto"/>
            </w:pPr>
            <w:r w:rsidRPr="006F54CD">
              <w:t>0.16</w:t>
            </w:r>
          </w:p>
        </w:tc>
      </w:tr>
    </w:tbl>
    <w:p w14:paraId="7413577B" w14:textId="0A499AC1" w:rsidR="001237F7" w:rsidRDefault="001237F7" w:rsidP="00A01F60">
      <w:pPr>
        <w:ind w:firstLine="720"/>
      </w:pPr>
      <w:r w:rsidRPr="00DE1821">
        <w:t xml:space="preserve">Notes: </w:t>
      </w:r>
      <w:proofErr w:type="spellStart"/>
      <w:r>
        <w:rPr>
          <w:vertAlign w:val="superscript"/>
        </w:rPr>
        <w:t>a</w:t>
      </w:r>
      <w:r>
        <w:t>Includes</w:t>
      </w:r>
      <w:proofErr w:type="spellEnd"/>
      <w:r>
        <w:t xml:space="preserve"> r</w:t>
      </w:r>
      <w:r w:rsidRPr="00DE1821">
        <w:t xml:space="preserve">esidents of "Other" race: </w:t>
      </w:r>
      <w:r>
        <w:t>n=</w:t>
      </w:r>
      <w:proofErr w:type="gramStart"/>
      <w:r>
        <w:t>2;</w:t>
      </w:r>
      <w:proofErr w:type="gramEnd"/>
    </w:p>
    <w:p w14:paraId="6190343C" w14:textId="6BDF6604" w:rsidR="0003543A" w:rsidRDefault="0003543A">
      <w:pPr>
        <w:pStyle w:val="Heading1"/>
      </w:pPr>
      <w:r w:rsidRPr="000A79E1">
        <w:t>DATA ANALYSIS</w:t>
      </w:r>
      <w:r w:rsidRPr="00B86221">
        <w:t xml:space="preserve"> AND PROJECT FINDINGS</w:t>
      </w:r>
    </w:p>
    <w:p w14:paraId="245CD9BB" w14:textId="5AFBBD80" w:rsidR="006D1107" w:rsidRDefault="00C80350">
      <w:r>
        <w:t xml:space="preserve">The results and analyses from this project are dependent on the data drawn from the consecutive phases of this project. Results from empirical investigations </w:t>
      </w:r>
      <w:r w:rsidR="00662306">
        <w:t>correspond with</w:t>
      </w:r>
      <w:r>
        <w:t xml:space="preserve"> the three phases of data collection. Phase 1 </w:t>
      </w:r>
      <w:r w:rsidR="00662306">
        <w:t>findings</w:t>
      </w:r>
      <w:r>
        <w:t xml:space="preserve"> </w:t>
      </w:r>
      <w:r w:rsidR="00662306">
        <w:t xml:space="preserve">rely on the </w:t>
      </w:r>
      <w:r>
        <w:t xml:space="preserve">survey </w:t>
      </w:r>
      <w:r w:rsidR="00662306">
        <w:t xml:space="preserve">and administrative </w:t>
      </w:r>
      <w:r>
        <w:t xml:space="preserve">data collected in the three </w:t>
      </w:r>
      <w:r w:rsidR="00662306">
        <w:t xml:space="preserve">prison </w:t>
      </w:r>
      <w:r>
        <w:t>units. Phase 2 findings are drawn from semi</w:t>
      </w:r>
      <w:r w:rsidR="00662306">
        <w:t>-</w:t>
      </w:r>
      <w:r>
        <w:t xml:space="preserve">structured qualitative interviews administered </w:t>
      </w:r>
      <w:r w:rsidR="00662306">
        <w:t>to</w:t>
      </w:r>
      <w:r>
        <w:t xml:space="preserve"> a subsample of the survey population just </w:t>
      </w:r>
      <w:r w:rsidR="00662306">
        <w:t>prior to prison release.</w:t>
      </w:r>
      <w:r>
        <w:t xml:space="preserve"> Phase 3</w:t>
      </w:r>
      <w:r w:rsidR="006D1107">
        <w:t xml:space="preserve"> findings are drawn from </w:t>
      </w:r>
      <w:r w:rsidR="00662306">
        <w:t>in-</w:t>
      </w:r>
      <w:r w:rsidR="006D1107">
        <w:t xml:space="preserve">community interviews </w:t>
      </w:r>
      <w:r w:rsidR="00662306">
        <w:t>of</w:t>
      </w:r>
      <w:r w:rsidR="006D1107">
        <w:t xml:space="preserve"> </w:t>
      </w:r>
      <w:r w:rsidR="00535B46">
        <w:t>P</w:t>
      </w:r>
      <w:r w:rsidR="006D1107">
        <w:t>hase 2 respondents and</w:t>
      </w:r>
      <w:r w:rsidR="00662306">
        <w:t xml:space="preserve"> </w:t>
      </w:r>
      <w:r w:rsidR="006D1107">
        <w:t xml:space="preserve">recidivism </w:t>
      </w:r>
      <w:r w:rsidR="00662306">
        <w:t>analyses of Phase 1 respondents</w:t>
      </w:r>
      <w:r w:rsidR="006D1107">
        <w:t xml:space="preserve">. </w:t>
      </w:r>
    </w:p>
    <w:p w14:paraId="14B47D0E" w14:textId="4BA21464" w:rsidR="006D1107" w:rsidRDefault="006D1107" w:rsidP="009974E0">
      <w:pPr>
        <w:pStyle w:val="Heading2"/>
      </w:pPr>
      <w:r>
        <w:t>P</w:t>
      </w:r>
      <w:r w:rsidR="00D76485">
        <w:t>HASE 1 RESULTS</w:t>
      </w:r>
    </w:p>
    <w:p w14:paraId="314EBE08" w14:textId="5ECD39BE" w:rsidR="00C5076D" w:rsidRDefault="00C5076D">
      <w:r>
        <w:t xml:space="preserve">Phase 1 </w:t>
      </w:r>
      <w:r w:rsidR="001A4881">
        <w:t xml:space="preserve">results focus on the structure and context of the three women’s prison units. </w:t>
      </w:r>
      <w:r w:rsidR="00772C14">
        <w:t>In a published manuscript</w:t>
      </w:r>
      <w:r w:rsidR="00231837">
        <w:t xml:space="preserve">, we </w:t>
      </w:r>
      <w:r w:rsidR="00C565AC">
        <w:t xml:space="preserve">analyzed the status networks across the three women’s units </w:t>
      </w:r>
      <w:r w:rsidR="000F4195">
        <w:t xml:space="preserve">and </w:t>
      </w:r>
      <w:r w:rsidR="00230A7D">
        <w:t>compared the</w:t>
      </w:r>
      <w:r w:rsidR="00503F30">
        <w:t>se</w:t>
      </w:r>
      <w:r w:rsidR="00230A7D">
        <w:t xml:space="preserve"> to</w:t>
      </w:r>
      <w:r w:rsidR="00E957BC">
        <w:t xml:space="preserve"> </w:t>
      </w:r>
      <w:r w:rsidR="00956B5B">
        <w:t xml:space="preserve">the </w:t>
      </w:r>
      <w:r w:rsidR="00282E13">
        <w:t>previously collected</w:t>
      </w:r>
      <w:r w:rsidR="00AD637D">
        <w:t xml:space="preserve"> </w:t>
      </w:r>
      <w:r w:rsidR="00956B5B">
        <w:t>PINS</w:t>
      </w:r>
      <w:r w:rsidR="00E957BC">
        <w:t xml:space="preserve"> data from</w:t>
      </w:r>
      <w:r w:rsidR="00230A7D">
        <w:t xml:space="preserve"> a</w:t>
      </w:r>
      <w:r w:rsidR="000F4195">
        <w:t xml:space="preserve"> men’s unit (Kreager et al.,</w:t>
      </w:r>
      <w:r w:rsidR="001A4881">
        <w:t xml:space="preserve"> 2021</w:t>
      </w:r>
      <w:r w:rsidR="00FE12A8">
        <w:t xml:space="preserve">). Additionally, we </w:t>
      </w:r>
      <w:r w:rsidR="00772C14">
        <w:t>published a paper that</w:t>
      </w:r>
      <w:r w:rsidR="00FE12A8">
        <w:t xml:space="preserve"> </w:t>
      </w:r>
      <w:r w:rsidR="00FE12A8" w:rsidRPr="00B96B57">
        <w:t xml:space="preserve">analyzed the trust network in unit 1 </w:t>
      </w:r>
      <w:r w:rsidR="001065C8" w:rsidRPr="00B96B57">
        <w:t xml:space="preserve">to understand </w:t>
      </w:r>
      <w:r w:rsidR="003F701C" w:rsidRPr="00B96B57">
        <w:t>individual and structural determinants of trust</w:t>
      </w:r>
      <w:r w:rsidR="001A4881">
        <w:t xml:space="preserve"> (Young </w:t>
      </w:r>
      <w:r w:rsidR="00D76485">
        <w:t>&amp;</w:t>
      </w:r>
      <w:r w:rsidR="001A4881">
        <w:t xml:space="preserve"> Haynie, forthcoming)</w:t>
      </w:r>
      <w:r w:rsidR="003F701C" w:rsidRPr="00B96B57">
        <w:t>.</w:t>
      </w:r>
      <w:r w:rsidR="00FF04A2" w:rsidRPr="00B96B57">
        <w:t xml:space="preserve"> </w:t>
      </w:r>
      <w:r w:rsidR="007A2E4F">
        <w:t xml:space="preserve">We summarize findings from these </w:t>
      </w:r>
      <w:r w:rsidR="0083035A">
        <w:t>manuscripts below.</w:t>
      </w:r>
    </w:p>
    <w:p w14:paraId="1041E6EE" w14:textId="149D7D00" w:rsidR="004A103B" w:rsidRDefault="0083035A" w:rsidP="009974E0">
      <w:pPr>
        <w:ind w:firstLine="720"/>
      </w:pPr>
      <w:r>
        <w:t xml:space="preserve">We also summarize several ongoing projects: </w:t>
      </w:r>
      <w:r w:rsidR="001A4881">
        <w:t>(1)</w:t>
      </w:r>
      <w:r w:rsidR="003B7B55" w:rsidRPr="003B7B55">
        <w:t xml:space="preserve"> </w:t>
      </w:r>
      <w:r w:rsidR="007B3DF5">
        <w:t xml:space="preserve">we </w:t>
      </w:r>
      <w:r w:rsidR="003B7B55" w:rsidRPr="003B7B55">
        <w:t>explore the prevalence of prison pseudo-family membership and the connection between biological motherhood and pseudo-motherhood in two prison units</w:t>
      </w:r>
      <w:r w:rsidR="00772C14">
        <w:t>,</w:t>
      </w:r>
      <w:r w:rsidR="003B7B55" w:rsidRPr="003B7B55">
        <w:t xml:space="preserve"> </w:t>
      </w:r>
      <w:r w:rsidR="00772C14">
        <w:t xml:space="preserve">(2) </w:t>
      </w:r>
      <w:r w:rsidR="007B3DF5">
        <w:t xml:space="preserve">we </w:t>
      </w:r>
      <w:r w:rsidR="00C5076D">
        <w:t>use a</w:t>
      </w:r>
      <w:r w:rsidR="00734B4C" w:rsidRPr="00B96B57">
        <w:t>dministrative visitation data and qualitative response</w:t>
      </w:r>
      <w:r w:rsidR="00772C14">
        <w:t>s</w:t>
      </w:r>
      <w:r w:rsidR="00734B4C" w:rsidRPr="006E1C7D">
        <w:t xml:space="preserve"> to investigate the complicated feelings incarcerated women have </w:t>
      </w:r>
      <w:r w:rsidR="001A4881">
        <w:t>toward</w:t>
      </w:r>
      <w:r w:rsidR="00734B4C" w:rsidRPr="00B96B57">
        <w:t xml:space="preserve"> visitation</w:t>
      </w:r>
      <w:r w:rsidR="00772C14">
        <w:t>,</w:t>
      </w:r>
      <w:r w:rsidR="001A4881">
        <w:t xml:space="preserve"> and (</w:t>
      </w:r>
      <w:r w:rsidR="00772C14">
        <w:t>3</w:t>
      </w:r>
      <w:r w:rsidR="001A4881">
        <w:t xml:space="preserve">) </w:t>
      </w:r>
      <w:r w:rsidR="007B3DF5">
        <w:t xml:space="preserve">we </w:t>
      </w:r>
      <w:r w:rsidR="001A4881">
        <w:t>investigate the correlation between prison fr</w:t>
      </w:r>
      <w:r w:rsidR="00217BC6">
        <w:t xml:space="preserve">iendship networks </w:t>
      </w:r>
      <w:r w:rsidR="001A4881">
        <w:t xml:space="preserve">and </w:t>
      </w:r>
      <w:r w:rsidR="00772C14">
        <w:t xml:space="preserve">women’s </w:t>
      </w:r>
      <w:r w:rsidR="001A4881">
        <w:t>prior</w:t>
      </w:r>
      <w:r w:rsidR="00217BC6">
        <w:t xml:space="preserve"> victimization</w:t>
      </w:r>
      <w:r w:rsidR="00772C14">
        <w:t xml:space="preserve"> experiences</w:t>
      </w:r>
      <w:r w:rsidR="00217BC6">
        <w:t>.</w:t>
      </w:r>
      <w:r w:rsidR="00734B4C">
        <w:t xml:space="preserve"> </w:t>
      </w:r>
    </w:p>
    <w:p w14:paraId="7868F476" w14:textId="08631C07" w:rsidR="004A103B" w:rsidRPr="00B96B57" w:rsidRDefault="00772C14" w:rsidP="009974E0">
      <w:pPr>
        <w:pStyle w:val="Heading3"/>
      </w:pPr>
      <w:r>
        <w:t>The S</w:t>
      </w:r>
      <w:r w:rsidR="00664DC5" w:rsidRPr="00B96B57">
        <w:t>tructure</w:t>
      </w:r>
      <w:r w:rsidR="003B7B55">
        <w:t xml:space="preserve"> and Meaning</w:t>
      </w:r>
      <w:r w:rsidR="00664DC5" w:rsidRPr="00B96B57">
        <w:t xml:space="preserve"> </w:t>
      </w:r>
      <w:r>
        <w:t>of Prison Status</w:t>
      </w:r>
    </w:p>
    <w:p w14:paraId="42061937" w14:textId="5426BB88" w:rsidR="00BA1D44" w:rsidRPr="004A103B" w:rsidRDefault="00DE3509">
      <w:r w:rsidRPr="006E1C7D">
        <w:t xml:space="preserve">We </w:t>
      </w:r>
      <w:r w:rsidR="00B86F7F" w:rsidRPr="006E1C7D">
        <w:t>a</w:t>
      </w:r>
      <w:r w:rsidR="00724D03" w:rsidRPr="006E1C7D">
        <w:t>pproached status in the prison units using an</w:t>
      </w:r>
      <w:r w:rsidR="007C428A" w:rsidRPr="006E1C7D">
        <w:t xml:space="preserve"> abductive approach, </w:t>
      </w:r>
      <w:r w:rsidR="006B0C7A" w:rsidRPr="004A103B">
        <w:t>where theoretical contributions emerge through iterative investigation</w:t>
      </w:r>
      <w:r w:rsidR="00880101">
        <w:t xml:space="preserve"> revised hypotheses</w:t>
      </w:r>
      <w:r w:rsidR="00D808F6">
        <w:t>,</w:t>
      </w:r>
      <w:r w:rsidR="009B6868" w:rsidRPr="004A103B">
        <w:t xml:space="preserve"> </w:t>
      </w:r>
      <w:r w:rsidR="00AD6F97">
        <w:t xml:space="preserve">rather than </w:t>
      </w:r>
      <w:r w:rsidR="00633370">
        <w:t xml:space="preserve">deductive tests </w:t>
      </w:r>
      <w:r w:rsidR="007E45BE">
        <w:t xml:space="preserve">of </w:t>
      </w:r>
      <w:r w:rsidR="001F7CBA">
        <w:t>specific hypotheses or</w:t>
      </w:r>
      <w:r w:rsidR="00AF26F6">
        <w:t xml:space="preserve"> an</w:t>
      </w:r>
      <w:r w:rsidR="001F7CBA">
        <w:t xml:space="preserve"> inductive, “grounded theory</w:t>
      </w:r>
      <w:r w:rsidR="00E32346">
        <w:t>,</w:t>
      </w:r>
      <w:r w:rsidR="001F7CBA">
        <w:t>” app</w:t>
      </w:r>
      <w:r w:rsidR="0032458C">
        <w:t>roach</w:t>
      </w:r>
      <w:r w:rsidR="006A3600">
        <w:t xml:space="preserve"> where</w:t>
      </w:r>
      <w:r w:rsidR="00E92F48">
        <w:t xml:space="preserve"> theory and hypotheses </w:t>
      </w:r>
      <w:r w:rsidR="006A3600">
        <w:t xml:space="preserve">are outcomes </w:t>
      </w:r>
      <w:r w:rsidR="001D19BC">
        <w:t>of qualitative analysis</w:t>
      </w:r>
      <w:r w:rsidR="00E92F48">
        <w:t xml:space="preserve"> </w:t>
      </w:r>
      <w:r w:rsidR="009B6868" w:rsidRPr="004A103B">
        <w:t xml:space="preserve">(Kreager et al., </w:t>
      </w:r>
      <w:r w:rsidR="001A4881">
        <w:t>2017; 2021</w:t>
      </w:r>
      <w:r w:rsidR="009B6868" w:rsidRPr="004A103B">
        <w:t>)</w:t>
      </w:r>
      <w:r w:rsidR="006B0C7A" w:rsidRPr="004A103B">
        <w:t>.</w:t>
      </w:r>
      <w:r w:rsidR="00BE532E" w:rsidRPr="004A103B">
        <w:t xml:space="preserve"> From participant narratives, we identified themes of age, time in prison, and accrued prison wisdom (often coalescing in “lifer” residents) </w:t>
      </w:r>
      <w:r w:rsidR="0040268B" w:rsidRPr="004A103B">
        <w:t>for</w:t>
      </w:r>
      <w:r w:rsidR="00BE532E" w:rsidRPr="004A103B">
        <w:t xml:space="preserve"> higher status peers across </w:t>
      </w:r>
      <w:r w:rsidR="0040268B" w:rsidRPr="004A103B">
        <w:t xml:space="preserve">the </w:t>
      </w:r>
      <w:r w:rsidR="00BE532E" w:rsidRPr="004A103B">
        <w:t xml:space="preserve">women’s and </w:t>
      </w:r>
      <w:proofErr w:type="gramStart"/>
      <w:r w:rsidR="00BE532E" w:rsidRPr="004A103B">
        <w:t xml:space="preserve">men’s </w:t>
      </w:r>
      <w:r w:rsidR="001D19BC">
        <w:t xml:space="preserve"> (</w:t>
      </w:r>
      <w:proofErr w:type="gramEnd"/>
      <w:r w:rsidR="001D19BC">
        <w:t xml:space="preserve">i.e., PINS) </w:t>
      </w:r>
      <w:r w:rsidR="00BE532E" w:rsidRPr="004A103B">
        <w:t>correctional settings.</w:t>
      </w:r>
      <w:r w:rsidR="00A95DB5" w:rsidRPr="004A103B">
        <w:t xml:space="preserve"> </w:t>
      </w:r>
      <w:r w:rsidR="00862C86" w:rsidRPr="004A103B">
        <w:t>We also found that incarcerated women were more likely than men to describe status in affective versus instrumental terms.</w:t>
      </w:r>
      <w:r w:rsidR="00AB2F09" w:rsidRPr="004A103B">
        <w:t xml:space="preserve"> For example, incarcerated women commonly defined powerful peers as nurturing, caring, and maternal, whereas similar narratives were unmentioned by incarcerated men. Women were also more likely than men to focus on negative interpersonal behaviors or attributes – such as bullying, selfishness, manipulation, and </w:t>
      </w:r>
      <w:r w:rsidR="00542A7F" w:rsidRPr="009974E0">
        <w:rPr>
          <w:rStyle w:val="Heading4Char"/>
          <w:noProof/>
        </w:rPr>
        <w:drawing>
          <wp:anchor distT="0" distB="0" distL="114300" distR="114300" simplePos="0" relativeHeight="251659264" behindDoc="0" locked="0" layoutInCell="1" allowOverlap="1" wp14:anchorId="3AB235C1" wp14:editId="36A51B87">
            <wp:simplePos x="0" y="0"/>
            <wp:positionH relativeFrom="margin">
              <wp:align>right</wp:align>
            </wp:positionH>
            <wp:positionV relativeFrom="paragraph">
              <wp:posOffset>996950</wp:posOffset>
            </wp:positionV>
            <wp:extent cx="5956300" cy="57150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0" cy="5715000"/>
                    </a:xfrm>
                    <a:prstGeom prst="rect">
                      <a:avLst/>
                    </a:prstGeom>
                    <a:noFill/>
                  </pic:spPr>
                </pic:pic>
              </a:graphicData>
            </a:graphic>
            <wp14:sizeRelH relativeFrom="margin">
              <wp14:pctWidth>0</wp14:pctWidth>
            </wp14:sizeRelH>
            <wp14:sizeRelV relativeFrom="margin">
              <wp14:pctHeight>0</wp14:pctHeight>
            </wp14:sizeRelV>
          </wp:anchor>
        </w:drawing>
      </w:r>
      <w:r w:rsidR="00AB2F09" w:rsidRPr="004A103B">
        <w:t>intimidation – as sources of prison status.</w:t>
      </w:r>
    </w:p>
    <w:p w14:paraId="06082295" w14:textId="273B29AA" w:rsidR="00E76F5B" w:rsidRPr="009974E0" w:rsidRDefault="00E76F5B" w:rsidP="00E76F5B">
      <w:pPr>
        <w:spacing w:line="240" w:lineRule="auto"/>
      </w:pPr>
      <w:r w:rsidRPr="009974E0">
        <w:rPr>
          <w:rStyle w:val="Heading4Char"/>
        </w:rPr>
        <w:t>F</w:t>
      </w:r>
      <w:r w:rsidR="00303F56">
        <w:rPr>
          <w:rStyle w:val="Heading4Char"/>
        </w:rPr>
        <w:t>igure</w:t>
      </w:r>
      <w:r w:rsidRPr="009974E0">
        <w:rPr>
          <w:rStyle w:val="Heading4Char"/>
        </w:rPr>
        <w:t xml:space="preserve"> 1.</w:t>
      </w:r>
      <w:r w:rsidRPr="009974E0">
        <w:t xml:space="preserve"> </w:t>
      </w:r>
      <w:r w:rsidRPr="005579EB">
        <w:rPr>
          <w:b/>
          <w:bCs/>
        </w:rPr>
        <w:t>Balance of Positive, Neutral and Negative Ties in the Status Networks of (a) Unit 1, (b) Unit 2, (c) Unit 3, and (d) Men’s (PINS) Unit</w:t>
      </w:r>
    </w:p>
    <w:p w14:paraId="5EFAD35A" w14:textId="77777777" w:rsidR="00542A7F" w:rsidRDefault="002D3D0C">
      <w:r>
        <w:tab/>
      </w:r>
    </w:p>
    <w:p w14:paraId="62DB2A5E" w14:textId="01802825" w:rsidR="00EB589E" w:rsidRDefault="006630D1" w:rsidP="00E76F5B">
      <w:pPr>
        <w:ind w:firstLine="720"/>
      </w:pPr>
      <w:r w:rsidRPr="006630D1">
        <w:t xml:space="preserve">The qualitative results informed network analyses by distinguishing </w:t>
      </w:r>
      <w:r w:rsidR="006C4709">
        <w:t xml:space="preserve">status </w:t>
      </w:r>
      <w:r w:rsidRPr="006630D1">
        <w:t>ties based on their affective content. After coding women’s status nominations as either “positive/neutral” or “negative” and visualizing these in network graphs, it was apparent that powerful and influential women were simultaneously perceived positively by some peers and negatively by others</w:t>
      </w:r>
      <w:r w:rsidR="003915C6">
        <w:t xml:space="preserve"> (see Figure 1)</w:t>
      </w:r>
      <w:r w:rsidRPr="006630D1">
        <w:t xml:space="preserve">. </w:t>
      </w:r>
      <w:r w:rsidR="00C86B81">
        <w:t>In these graphs</w:t>
      </w:r>
      <w:r w:rsidR="00C57F06">
        <w:t xml:space="preserve">, </w:t>
      </w:r>
      <w:r w:rsidR="00344A5B" w:rsidRPr="00344A5B">
        <w:t xml:space="preserve">nodes </w:t>
      </w:r>
      <w:r w:rsidR="00344A5B">
        <w:t xml:space="preserve">are </w:t>
      </w:r>
      <w:r w:rsidR="006D02EC">
        <w:t xml:space="preserve">unit residents and arrows represent (directed) </w:t>
      </w:r>
      <w:r w:rsidR="00363A13">
        <w:t xml:space="preserve">status nominations. The size of each node corresponds to the number of </w:t>
      </w:r>
      <w:r w:rsidR="00F068B1">
        <w:t xml:space="preserve">status nominations received by other unit residents (i.e., indegree) </w:t>
      </w:r>
      <w:r w:rsidR="008A7FC6">
        <w:t xml:space="preserve">and the pie charts reflect the proportion of incoming nominations that are </w:t>
      </w:r>
      <w:r w:rsidR="00BD6FE7">
        <w:t>positive (black), neutral (black), and negative (red) in affect. The frequencies of isolated nodes (i.e., those residents who did not send or receive a status nomination</w:t>
      </w:r>
      <w:r w:rsidR="00EB589E">
        <w:t>) are</w:t>
      </w:r>
      <w:r w:rsidR="00344A5B" w:rsidRPr="00344A5B">
        <w:t xml:space="preserve"> listed in </w:t>
      </w:r>
      <w:r w:rsidR="00EB589E">
        <w:t xml:space="preserve">the </w:t>
      </w:r>
      <w:r w:rsidR="00344A5B" w:rsidRPr="00344A5B">
        <w:t>top-right of each graph</w:t>
      </w:r>
      <w:r w:rsidR="00EB589E">
        <w:t>.</w:t>
      </w:r>
      <w:r w:rsidR="00344A5B">
        <w:t xml:space="preserve"> </w:t>
      </w:r>
      <w:r w:rsidR="00FE6AA5">
        <w:t xml:space="preserve">Looking across the graphs, a consistent pattern </w:t>
      </w:r>
      <w:r w:rsidR="007A7AF8">
        <w:t>is that those unit residents who received negative nominations were equally likely to receive positive nominations</w:t>
      </w:r>
      <w:r w:rsidR="00DE2F2A">
        <w:t>, suggesting that perceptions of status depend on who is doing the nominating.</w:t>
      </w:r>
    </w:p>
    <w:p w14:paraId="121586C3" w14:textId="0AA479A3" w:rsidR="001B2427" w:rsidRDefault="00DF7E37" w:rsidP="00351201">
      <w:pPr>
        <w:ind w:firstLine="720"/>
      </w:pPr>
      <w:r>
        <w:t xml:space="preserve">Additionally, ERGM analyses </w:t>
      </w:r>
      <w:r w:rsidR="00792A21">
        <w:t>suggested that</w:t>
      </w:r>
      <w:r w:rsidR="00CE6716">
        <w:t>, for the most part,</w:t>
      </w:r>
      <w:r w:rsidR="00792A21">
        <w:t xml:space="preserve"> correlates of status </w:t>
      </w:r>
      <w:r w:rsidR="00CE6716">
        <w:t xml:space="preserve">tended to be similar in the women’s and men’s prison contexts </w:t>
      </w:r>
      <w:r w:rsidR="00E44954">
        <w:t>(e.g., older</w:t>
      </w:r>
      <w:r w:rsidR="00635B8F">
        <w:t xml:space="preserve"> inmates and those </w:t>
      </w:r>
      <w:r w:rsidR="004A2D04">
        <w:t>in prison</w:t>
      </w:r>
      <w:r w:rsidR="00635B8F">
        <w:t xml:space="preserve"> longer). Howeve</w:t>
      </w:r>
      <w:r w:rsidR="00BB5D86">
        <w:t xml:space="preserve">r, friendship </w:t>
      </w:r>
      <w:r w:rsidR="00DB6711">
        <w:t>was a more important correlate of status for women than men</w:t>
      </w:r>
      <w:r w:rsidR="00E267FE">
        <w:t xml:space="preserve">, pointing to informal affective groups </w:t>
      </w:r>
      <w:r w:rsidR="00154123">
        <w:t xml:space="preserve">as important </w:t>
      </w:r>
      <w:r w:rsidR="007E3851">
        <w:t>sources</w:t>
      </w:r>
      <w:r w:rsidR="0043732F">
        <w:t xml:space="preserve"> of</w:t>
      </w:r>
      <w:r w:rsidR="00154123">
        <w:t xml:space="preserve"> status in women’s prison.</w:t>
      </w:r>
      <w:r w:rsidR="002A1337">
        <w:t xml:space="preserve"> </w:t>
      </w:r>
    </w:p>
    <w:p w14:paraId="7105E90A" w14:textId="6C91CA57" w:rsidR="00772C14" w:rsidRDefault="00772C14">
      <w:pPr>
        <w:rPr>
          <w:b/>
          <w:bCs/>
        </w:rPr>
      </w:pPr>
      <w:r>
        <w:rPr>
          <w:b/>
          <w:bCs/>
        </w:rPr>
        <w:t>Prison Trust Networks</w:t>
      </w:r>
    </w:p>
    <w:p w14:paraId="2839B9F2" w14:textId="7293988D" w:rsidR="008D170D" w:rsidRDefault="008D170D">
      <w:r>
        <w:tab/>
      </w:r>
      <w:r w:rsidRPr="008D170D">
        <w:t xml:space="preserve">Knowing whether and how incarcerated women establish relationships of trust with one another is crucial for understanding how individuals adjust to conditions of confinement, yet we know very little about </w:t>
      </w:r>
      <w:r w:rsidR="004914D6">
        <w:t xml:space="preserve">the informal organization of trust between </w:t>
      </w:r>
      <w:r w:rsidR="00D2599E">
        <w:t>incarcerated peers</w:t>
      </w:r>
      <w:r w:rsidRPr="008D170D">
        <w:t>.</w:t>
      </w:r>
      <w:r w:rsidR="00162021">
        <w:rPr>
          <w:rStyle w:val="FootnoteReference"/>
        </w:rPr>
        <w:footnoteReference w:id="3"/>
      </w:r>
      <w:r w:rsidRPr="008D170D">
        <w:t xml:space="preserve"> This dearth of knowledge stems from a lack of conceptual work on the concept of trust in corrections, specifically and criminology in general. In seeking to contribute to the growing area of research that Kreager et al. (2016) refer to as the “Criminology of Inmate Networks”, </w:t>
      </w:r>
      <w:r w:rsidR="004712A8">
        <w:t>we (Young &amp; Haynie, forthcoming)</w:t>
      </w:r>
      <w:r w:rsidR="00EB1E62">
        <w:t xml:space="preserve"> utilized</w:t>
      </w:r>
      <w:r w:rsidRPr="008D170D">
        <w:t xml:space="preserve"> a social network approach and measures to examine the relationship of trust ties among incarcerated women housed in </w:t>
      </w:r>
      <w:r w:rsidR="00EB1E62">
        <w:t>u</w:t>
      </w:r>
      <w:r w:rsidRPr="008D170D">
        <w:t>nit</w:t>
      </w:r>
      <w:r w:rsidR="00EB1E62">
        <w:t xml:space="preserve"> 1</w:t>
      </w:r>
      <w:r w:rsidRPr="008D170D">
        <w:t>. We d</w:t>
      </w:r>
      <w:r w:rsidR="00EB1E62">
        <w:t>id</w:t>
      </w:r>
      <w:r w:rsidRPr="008D170D">
        <w:t xml:space="preserve"> so by examining the role of individual and structural determinants of trust in this prison unit</w:t>
      </w:r>
      <w:r w:rsidR="00EB1E62">
        <w:t>.</w:t>
      </w:r>
      <w:r w:rsidRPr="008D170D">
        <w:t xml:space="preserve"> The strength of a network approach over past work examining trust in carceral and other settings is that it allows for much more precise operational measures of our trust-related hypotheses. Just as important, the precise specification of context allows our findings to be replicated in other settings, something that has not been possible in past research (Kreager, Schaefer, et al., 2016).</w:t>
      </w:r>
    </w:p>
    <w:p w14:paraId="79F8DB7A" w14:textId="0B3A37F7" w:rsidR="008D170D" w:rsidRDefault="008D170D">
      <w:r>
        <w:tab/>
      </w:r>
      <w:r w:rsidRPr="008D170D">
        <w:t xml:space="preserve">During the CAPI administration, </w:t>
      </w:r>
      <w:r w:rsidR="004D18A1">
        <w:t xml:space="preserve">interview </w:t>
      </w:r>
      <w:r w:rsidRPr="008D170D">
        <w:t xml:space="preserve">respondents were shown a roster of all women on the unit and asked to indicate, “Who are the residents that you trust to support you during an argument or dispute with another inmate?” Each respondent was allowed to nominate as many others as they wished from a unit roster. This measure of trust reflects Hardin’s (2002) three-part conceptualization, where A trusts B to do X. In this case, </w:t>
      </w:r>
      <w:proofErr w:type="spellStart"/>
      <w:r w:rsidRPr="008D170D">
        <w:t>i</w:t>
      </w:r>
      <w:proofErr w:type="spellEnd"/>
      <w:r w:rsidRPr="008D170D">
        <w:t xml:space="preserve"> trusts j to support </w:t>
      </w:r>
      <w:proofErr w:type="spellStart"/>
      <w:r w:rsidRPr="008D170D">
        <w:t>i</w:t>
      </w:r>
      <w:proofErr w:type="spellEnd"/>
      <w:r w:rsidRPr="008D170D">
        <w:t xml:space="preserve"> during an argument or dispute. In addition, this measure captures a salient feature of confinement for women as research demonstrates that verbal and emotional aggression occurs with regularity (see Kreager &amp; </w:t>
      </w:r>
      <w:proofErr w:type="spellStart"/>
      <w:r w:rsidRPr="008D170D">
        <w:t>Kruttschnitt</w:t>
      </w:r>
      <w:proofErr w:type="spellEnd"/>
      <w:r w:rsidRPr="008D170D">
        <w:t xml:space="preserve">, 2018, p. 270). There </w:t>
      </w:r>
      <w:proofErr w:type="gramStart"/>
      <w:r w:rsidRPr="008D170D">
        <w:t>were</w:t>
      </w:r>
      <w:proofErr w:type="gramEnd"/>
      <w:r w:rsidRPr="008D170D">
        <w:t xml:space="preserve"> a total of 515 trust nominations made by the 103 women in the unit, resulting in a density of 0.07</w:t>
      </w:r>
      <w:r w:rsidR="00B63FAA">
        <w:t>, meaning that 7% of all possible nomination</w:t>
      </w:r>
      <w:r w:rsidR="00655A56">
        <w:t>s were present in the network</w:t>
      </w:r>
      <w:r w:rsidRPr="008D170D">
        <w:t xml:space="preserve">. Trust nominations are directed, meaning that a trust nomination from </w:t>
      </w:r>
      <w:proofErr w:type="spellStart"/>
      <w:r w:rsidRPr="008D170D">
        <w:t>i</w:t>
      </w:r>
      <w:proofErr w:type="spellEnd"/>
      <w:r w:rsidRPr="008D170D">
        <w:t xml:space="preserve"> to j does not necessarily reflect a trust nomination from j to </w:t>
      </w:r>
      <w:proofErr w:type="spellStart"/>
      <w:r w:rsidRPr="008D170D">
        <w:t>i</w:t>
      </w:r>
      <w:proofErr w:type="spellEnd"/>
      <w:r w:rsidRPr="008D170D">
        <w:t>. The number of trust nominations that an individual receives measures their relative trustworthiness, and the number of trust nominations that an individual sends measures their relative trust in others.</w:t>
      </w:r>
    </w:p>
    <w:p w14:paraId="660D2462" w14:textId="6CF53D59" w:rsidR="008D170D" w:rsidRDefault="008D170D">
      <w:r>
        <w:tab/>
      </w:r>
      <w:r w:rsidRPr="008D170D">
        <w:t>We beg</w:t>
      </w:r>
      <w:r w:rsidR="00EB1E62">
        <w:t>a</w:t>
      </w:r>
      <w:r w:rsidRPr="008D170D">
        <w:t xml:space="preserve">n our analysis by describing the prevalence of trust in the unit. </w:t>
      </w:r>
      <w:r w:rsidR="00EB1E62">
        <w:t>T</w:t>
      </w:r>
      <w:r w:rsidRPr="008D170D">
        <w:t>he average respondent received (i.e.</w:t>
      </w:r>
      <w:r w:rsidR="00565662">
        <w:t>,</w:t>
      </w:r>
      <w:r w:rsidRPr="008D170D">
        <w:t xml:space="preserve"> indegree) 3.93 trust nominations (</w:t>
      </w:r>
      <w:proofErr w:type="spellStart"/>
      <w:r w:rsidRPr="008D170D">
        <w:t>sd</w:t>
      </w:r>
      <w:proofErr w:type="spellEnd"/>
      <w:r w:rsidRPr="008D170D">
        <w:t xml:space="preserve"> = 3.02), whereas the average ties sent </w:t>
      </w:r>
      <w:r w:rsidR="00EC0310">
        <w:t xml:space="preserve">(i.e., outdegree) </w:t>
      </w:r>
      <w:r w:rsidRPr="008D170D">
        <w:t>among the 103 eligible survey respondents was 4.08 (</w:t>
      </w:r>
      <w:proofErr w:type="spellStart"/>
      <w:r w:rsidRPr="008D170D">
        <w:t>sd</w:t>
      </w:r>
      <w:proofErr w:type="spellEnd"/>
      <w:r w:rsidRPr="008D170D">
        <w:t xml:space="preserve"> = 6.14). This indicates that, on average, a woman was viewed as trustworthy (in the context of providing support to another woman involved in an argument or dispute) by nearly 4 people on the unit. Both trustworthiness and trust varied considerably among women. For example, 13 individuals received 0 trust nominations, suggesting that nearly 10% of the unit was not trusted by anyone to support them during a dispute. Of those who could make nominations, 22 (21%) indicated that they did not trust anyone to support them, whereas 2 women indicated that they trusted as many as 35 women to support them during a dispute. Keeping in mind that respondents were allowed to nominate as many other women as they wished, the descriptive statistics indicate that trust is fairly low on this unit with respect to the context of support during a dispute</w:t>
      </w:r>
      <w:proofErr w:type="gramStart"/>
      <w:r w:rsidR="005579EB">
        <w:t xml:space="preserve">, </w:t>
      </w:r>
      <w:r w:rsidR="005579EB" w:rsidRPr="005579EB">
        <w:t>,</w:t>
      </w:r>
      <w:proofErr w:type="gramEnd"/>
      <w:r w:rsidR="005579EB" w:rsidRPr="005579EB">
        <w:t xml:space="preserve"> particularly given that the average woman resided on the unit for over 3.5 years</w:t>
      </w:r>
      <w:r w:rsidRPr="008D170D">
        <w:t>. For a unit with 131 women, the average person only trusted about 3% of the unit.</w:t>
      </w:r>
    </w:p>
    <w:p w14:paraId="085EEBCD" w14:textId="77777777" w:rsidR="00FB591A" w:rsidRDefault="00B252F2" w:rsidP="00B252F2">
      <w:pPr>
        <w:ind w:firstLine="720"/>
      </w:pPr>
      <w:r w:rsidRPr="008D170D">
        <w:t xml:space="preserve">A visualization of the trust network is shown in Figure </w:t>
      </w:r>
      <w:r>
        <w:t>2</w:t>
      </w:r>
      <w:r w:rsidRPr="008D170D">
        <w:t>. In this figure, nodes are colored by race/ethnicity</w:t>
      </w:r>
      <w:r w:rsidRPr="00E61BBD">
        <w:t xml:space="preserve"> </w:t>
      </w:r>
      <w:r>
        <w:t>(</w:t>
      </w:r>
      <w:r w:rsidRPr="00E61BBD">
        <w:t>White</w:t>
      </w:r>
      <w:r>
        <w:t>=</w:t>
      </w:r>
      <w:r w:rsidRPr="00E61BBD">
        <w:t>Red; African American</w:t>
      </w:r>
      <w:r>
        <w:t>=</w:t>
      </w:r>
      <w:r w:rsidRPr="00E61BBD">
        <w:t>Blue; Hispanic</w:t>
      </w:r>
      <w:r>
        <w:t>=</w:t>
      </w:r>
      <w:r w:rsidRPr="00E61BBD">
        <w:t>Green</w:t>
      </w:r>
      <w:r>
        <w:t>)</w:t>
      </w:r>
      <w:r w:rsidRPr="008D170D">
        <w:t>, shaped by religious affiliation</w:t>
      </w:r>
      <w:r>
        <w:t xml:space="preserve"> (</w:t>
      </w:r>
      <w:r w:rsidRPr="006F5A38">
        <w:t>Triangle</w:t>
      </w:r>
      <w:r>
        <w:t>=</w:t>
      </w:r>
      <w:r w:rsidRPr="006F5A38">
        <w:t>Christian; Musli</w:t>
      </w:r>
      <w:r>
        <w:t>m=</w:t>
      </w:r>
      <w:r w:rsidRPr="006F5A38">
        <w:t>Square; None</w:t>
      </w:r>
      <w:r>
        <w:t>=</w:t>
      </w:r>
      <w:r w:rsidRPr="006F5A38">
        <w:t>Pentagon; Circle=Other</w:t>
      </w:r>
      <w:r>
        <w:t>)</w:t>
      </w:r>
      <w:r w:rsidRPr="008D170D">
        <w:t>, and sized proportional to indegree centrality.</w:t>
      </w:r>
      <w:r>
        <w:t xml:space="preserve"> Six isolated nodes are excluded from the graph. The graph supports patterns observed in (unlisted) descriptive statistics. </w:t>
      </w:r>
      <w:r w:rsidRPr="00EB1E62">
        <w:t xml:space="preserve">Beginning with indegree, or nominations of who is trustworthy, older individuals who have spent more time in prison and who have spent more time on the unit </w:t>
      </w:r>
      <w:r>
        <w:t>were</w:t>
      </w:r>
      <w:r w:rsidRPr="00EB1E62">
        <w:t xml:space="preserve"> seen as relatively more trustworthy. For religion, those who indicate</w:t>
      </w:r>
      <w:r>
        <w:t>d</w:t>
      </w:r>
      <w:r w:rsidRPr="00EB1E62">
        <w:t xml:space="preserve"> no religious affiliation have lower trustworthiness, and those who indicate</w:t>
      </w:r>
      <w:r>
        <w:t>d</w:t>
      </w:r>
      <w:r w:rsidRPr="00EB1E62">
        <w:t xml:space="preserve"> a religious affiliation other than Christian or Muslim have higher trustworthiness. For race, white </w:t>
      </w:r>
    </w:p>
    <w:p w14:paraId="732FFA97" w14:textId="5D800416" w:rsidR="0097309D" w:rsidRDefault="00FB591A" w:rsidP="0097309D">
      <w:r w:rsidRPr="002B6B61">
        <w:rPr>
          <w:noProof/>
        </w:rPr>
        <w:drawing>
          <wp:anchor distT="0" distB="0" distL="114300" distR="114300" simplePos="0" relativeHeight="251658240" behindDoc="1" locked="0" layoutInCell="1" allowOverlap="1" wp14:anchorId="5CCA9780" wp14:editId="1008DF1B">
            <wp:simplePos x="0" y="0"/>
            <wp:positionH relativeFrom="margin">
              <wp:posOffset>82550</wp:posOffset>
            </wp:positionH>
            <wp:positionV relativeFrom="paragraph">
              <wp:posOffset>0</wp:posOffset>
            </wp:positionV>
            <wp:extent cx="5842000" cy="5828665"/>
            <wp:effectExtent l="0" t="0" r="635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42000" cy="5828665"/>
                    </a:xfrm>
                    <a:prstGeom prst="rect">
                      <a:avLst/>
                    </a:prstGeom>
                  </pic:spPr>
                </pic:pic>
              </a:graphicData>
            </a:graphic>
            <wp14:sizeRelH relativeFrom="margin">
              <wp14:pctWidth>0</wp14:pctWidth>
            </wp14:sizeRelH>
            <wp14:sizeRelV relativeFrom="margin">
              <wp14:pctHeight>0</wp14:pctHeight>
            </wp14:sizeRelV>
          </wp:anchor>
        </w:drawing>
      </w:r>
      <w:r w:rsidR="0097309D" w:rsidRPr="009974E0">
        <w:rPr>
          <w:b/>
          <w:bCs/>
        </w:rPr>
        <w:t>F</w:t>
      </w:r>
      <w:r w:rsidR="0097309D">
        <w:rPr>
          <w:b/>
          <w:bCs/>
        </w:rPr>
        <w:t xml:space="preserve">igure </w:t>
      </w:r>
      <w:r w:rsidR="0097309D" w:rsidRPr="009974E0">
        <w:rPr>
          <w:b/>
          <w:bCs/>
        </w:rPr>
        <w:t xml:space="preserve">2. Trust Network in Unit 1. </w:t>
      </w:r>
      <w:r w:rsidR="0097309D">
        <w:tab/>
      </w:r>
    </w:p>
    <w:p w14:paraId="27AD338A" w14:textId="3C88C182" w:rsidR="00B252F2" w:rsidRDefault="00B252F2" w:rsidP="00C159A6">
      <w:r w:rsidRPr="00EB1E62">
        <w:t xml:space="preserve">and Hispanic individuals </w:t>
      </w:r>
      <w:r>
        <w:t>were</w:t>
      </w:r>
      <w:r w:rsidRPr="00EB1E62">
        <w:t xml:space="preserve"> seen as more trustworthy relative to black individuals. Regarding the effects of the get along with network, individuals who broker</w:t>
      </w:r>
      <w:r>
        <w:t>ed</w:t>
      </w:r>
      <w:r w:rsidRPr="00EB1E62">
        <w:t xml:space="preserve"> relationships in the get along with network are more likely to receive trust nominations. Additionally, individuals who sen</w:t>
      </w:r>
      <w:r>
        <w:t>t</w:t>
      </w:r>
      <w:r w:rsidRPr="00EB1E62">
        <w:t xml:space="preserve"> more trust nominations are more likely to receive trust nominations. Moving on to outdegree, or who is more likely to trust, individuals are more likely to send a trust nomination if they indicate a religious affiliation other than Christian, Muslim, or None, if they are Hispanic, if they broker</w:t>
      </w:r>
      <w:r>
        <w:t>ed</w:t>
      </w:r>
      <w:r w:rsidRPr="00EB1E62">
        <w:t xml:space="preserve"> more positions in the </w:t>
      </w:r>
      <w:r>
        <w:t>friendship</w:t>
      </w:r>
      <w:r w:rsidRPr="00EB1E62">
        <w:t xml:space="preserve"> network and receive</w:t>
      </w:r>
      <w:r>
        <w:t>d</w:t>
      </w:r>
      <w:r w:rsidRPr="00EB1E62">
        <w:t xml:space="preserve"> more trust nominations. Finally, the measures of homophily indicate</w:t>
      </w:r>
      <w:r>
        <w:t>d</w:t>
      </w:r>
      <w:r w:rsidRPr="00EB1E62">
        <w:t xml:space="preserve"> that there is some evidence that homophily occurs for age, time in prison, religion, and race/ethnicity.</w:t>
      </w:r>
      <w:r w:rsidRPr="008D170D">
        <w:t xml:space="preserve"> </w:t>
      </w:r>
    </w:p>
    <w:p w14:paraId="36C7AE67" w14:textId="53549740" w:rsidR="008D170D" w:rsidRDefault="008D170D" w:rsidP="008D170D">
      <w:r>
        <w:tab/>
      </w:r>
      <w:r w:rsidR="00EB1E62">
        <w:t xml:space="preserve">In multivariate ERGM results, which simultaneously estimated network, dyadic, and individual characteristics, we found several interesting results. </w:t>
      </w:r>
      <w:r>
        <w:t xml:space="preserve">First, we found no support for the idea that trust mainly varies by individual characteristics such as age, prison tenure, and time on the unit. </w:t>
      </w:r>
      <w:r w:rsidR="00EB1E62">
        <w:t>W</w:t>
      </w:r>
      <w:r>
        <w:t xml:space="preserve">e found that these characteristics did not play a role in shaping who was viewed as trustworthy for providing support during a dispute. We did, however, find </w:t>
      </w:r>
      <w:r w:rsidR="00EB1E62">
        <w:t>modest</w:t>
      </w:r>
      <w:r>
        <w:t xml:space="preserve"> evidence that these characteristics played a role in shaping whether individuals report trusting others (</w:t>
      </w:r>
      <w:proofErr w:type="gramStart"/>
      <w:r>
        <w:t>i.e.</w:t>
      </w:r>
      <w:proofErr w:type="gramEnd"/>
      <w:r>
        <w:t xml:space="preserve"> outdegree behavior). Nevertheless, these characteristics do not appear to be the main drivers of decisions about whom to trust for providing support during a dispute with another prisoner. Overall, our findings show that trust, at least in terms of views about who will support you during a dispute, is more complex and goes beyond variation in the individual characteristics we identified.</w:t>
      </w:r>
    </w:p>
    <w:p w14:paraId="64B37834" w14:textId="094AA66F" w:rsidR="008D170D" w:rsidRDefault="008D170D" w:rsidP="005450A0">
      <w:pPr>
        <w:ind w:firstLine="720"/>
      </w:pPr>
      <w:r>
        <w:t xml:space="preserve">Second, religious </w:t>
      </w:r>
      <w:r w:rsidR="00486431">
        <w:t xml:space="preserve">similarity between </w:t>
      </w:r>
      <w:r w:rsidR="001C6391">
        <w:t xml:space="preserve">connected individuals (i.e., </w:t>
      </w:r>
      <w:r>
        <w:t>homophily</w:t>
      </w:r>
      <w:r w:rsidR="001C6391">
        <w:t>)</w:t>
      </w:r>
      <w:r>
        <w:t xml:space="preserve"> appear</w:t>
      </w:r>
      <w:r w:rsidR="005450A0">
        <w:t>ed</w:t>
      </w:r>
      <w:r>
        <w:t xml:space="preserve"> to play a mixed role in shaping who one trusts to support her during a dispute. Specifically, we found that Muslim women and women who indicated no religious affiliation were more likely to trust each other when they shared these religious affiliations as opposed to someone of a different religious affiliation. In contrast, women who identified as Christian (either Catholic or Protestant) did not show any preference for trusting others of a particular faith. It is important to note that this lack of homophily among women who identif</w:t>
      </w:r>
      <w:r w:rsidR="005450A0">
        <w:t>ied</w:t>
      </w:r>
      <w:r>
        <w:t xml:space="preserve"> as Christian h</w:t>
      </w:r>
      <w:r w:rsidR="005450A0">
        <w:t>eld</w:t>
      </w:r>
      <w:r>
        <w:t xml:space="preserve"> if separate effects </w:t>
      </w:r>
      <w:r w:rsidR="005450A0">
        <w:t>were</w:t>
      </w:r>
      <w:r>
        <w:t xml:space="preserve"> estimated for Catholic and Protestant religious affiliation. The effects for differential homophily we observe</w:t>
      </w:r>
      <w:r w:rsidR="005450A0">
        <w:t>d</w:t>
      </w:r>
      <w:r>
        <w:t xml:space="preserve"> also reflect</w:t>
      </w:r>
      <w:r w:rsidR="005450A0">
        <w:t>ed</w:t>
      </w:r>
      <w:r>
        <w:t xml:space="preserve"> the disproportionate representation of those who identif</w:t>
      </w:r>
      <w:r w:rsidR="005450A0">
        <w:t>ied</w:t>
      </w:r>
      <w:r>
        <w:t xml:space="preserve"> as Christian in the unit. As shown in Table 1, 82% of the women in the unit identified as Christian, and the effects for the two other groups (</w:t>
      </w:r>
      <w:proofErr w:type="gramStart"/>
      <w:r>
        <w:t>i.e.</w:t>
      </w:r>
      <w:proofErr w:type="gramEnd"/>
      <w:r>
        <w:t xml:space="preserve"> Muslim [7%] and None [6%]) may reflect the small size of these groups. That is, in situations where one is a minority, this characteristic may be particularly salient and drive one’s beliefs about whom to trust in a specific context. In addition to the findings for religious affiliation, we f</w:t>
      </w:r>
      <w:r w:rsidR="005450A0">
        <w:t>ou</w:t>
      </w:r>
      <w:r>
        <w:t xml:space="preserve">nd no evidence of racial homophily. Although studies suggest that race significantly structures interaction among incarcerated men, there is much less evidence that it does so in women’s prisons (Kreager &amp; </w:t>
      </w:r>
      <w:proofErr w:type="spellStart"/>
      <w:r>
        <w:t>Kruttschnitt</w:t>
      </w:r>
      <w:proofErr w:type="spellEnd"/>
      <w:r>
        <w:t>, 2018), and our results support prior research in this regard.</w:t>
      </w:r>
    </w:p>
    <w:p w14:paraId="1BA6D66B" w14:textId="3DA58591" w:rsidR="008D170D" w:rsidRDefault="008D170D" w:rsidP="005450A0">
      <w:pPr>
        <w:ind w:firstLine="720"/>
      </w:pPr>
      <w:r>
        <w:t xml:space="preserve">Third, our findings regarding network structural properties </w:t>
      </w:r>
      <w:r w:rsidR="005450A0">
        <w:t>were</w:t>
      </w:r>
      <w:r>
        <w:t>, for the most part, quite strong. Specifically, our results suggest</w:t>
      </w:r>
      <w:r w:rsidR="005450A0">
        <w:t>ed</w:t>
      </w:r>
      <w:r>
        <w:t xml:space="preserve"> that the </w:t>
      </w:r>
      <w:r w:rsidR="005450A0">
        <w:t>“</w:t>
      </w:r>
      <w:r>
        <w:t>get along with</w:t>
      </w:r>
      <w:r w:rsidR="005450A0">
        <w:t>”</w:t>
      </w:r>
      <w:r>
        <w:t xml:space="preserve"> network (our proxy for “friendship”) is entrained with the trust network and that, additionally, trust relations are embedded (in both dyadic and network forms). These results make sense when one considers the context for making inferences about who will support you during a dispute. In situations in which individuals know each other, relationships that form and influence trust are said to be embedded, and we show evidence of a close correspondence between the get along with network and the trust network.</w:t>
      </w:r>
    </w:p>
    <w:p w14:paraId="058886D8" w14:textId="7D6119B6" w:rsidR="008D170D" w:rsidRPr="00772C14" w:rsidRDefault="008D170D" w:rsidP="008D170D">
      <w:pPr>
        <w:ind w:firstLine="720"/>
      </w:pPr>
      <w:r>
        <w:t>Our findings also contradict</w:t>
      </w:r>
      <w:r w:rsidR="005450A0">
        <w:t>ed</w:t>
      </w:r>
      <w:r>
        <w:t xml:space="preserve"> existing work on brokerage in networks. For instance, we found that individuals </w:t>
      </w:r>
      <w:r w:rsidR="005450A0">
        <w:t>were</w:t>
      </w:r>
      <w:r>
        <w:t xml:space="preserve"> less likely to trust others when they broker</w:t>
      </w:r>
      <w:r w:rsidR="005450A0">
        <w:t>ed</w:t>
      </w:r>
      <w:r>
        <w:t xml:space="preserve"> positions in the </w:t>
      </w:r>
      <w:r w:rsidR="005450A0">
        <w:t>friendship</w:t>
      </w:r>
      <w:r>
        <w:t xml:space="preserve"> network. While existing work points to the differences in potential gains for brokers (</w:t>
      </w:r>
      <w:proofErr w:type="gramStart"/>
      <w:r>
        <w:t>e.g.</w:t>
      </w:r>
      <w:proofErr w:type="gramEnd"/>
      <w:r>
        <w:t xml:space="preserve"> Burt, 20</w:t>
      </w:r>
      <w:r w:rsidR="008A20C8">
        <w:t>17</w:t>
      </w:r>
      <w:r>
        <w:t>), our results appear</w:t>
      </w:r>
      <w:r w:rsidR="005450A0">
        <w:t>ed</w:t>
      </w:r>
      <w:r>
        <w:t xml:space="preserve"> to highlight the difficulty prisoners face in choosing who is trustworthy when an individual brokers between groups. From the perspective of the broker, individuals who are interstitial between groups may not know who would support them during a dispute as a consequence of their position in the get along with network. Put differently, the mere nature of being in this brokerage position may make such a decision quite difficult and littered with uncertainty. However, while individuals in a brokerage position do not gain the trust of others, they may be strategically positioned to gain access to resources. That is, some individuals may seek to develop relationships for instrumental purposes such that these connections provide individual utility. Decisions based on expected utility may inherently conflict with others’ beliefs about the trustworthiness of that individual.</w:t>
      </w:r>
    </w:p>
    <w:p w14:paraId="57CF3D8D" w14:textId="111A4711" w:rsidR="004A103B" w:rsidRDefault="003B7B55" w:rsidP="009974E0">
      <w:pPr>
        <w:pStyle w:val="Heading3"/>
      </w:pPr>
      <w:r>
        <w:t>Pseudo-Families</w:t>
      </w:r>
      <w:r w:rsidR="00772C14">
        <w:t xml:space="preserve"> and</w:t>
      </w:r>
      <w:r w:rsidR="00A50F22" w:rsidRPr="002A0B90">
        <w:t xml:space="preserve"> Mother</w:t>
      </w:r>
      <w:r>
        <w:t>hood</w:t>
      </w:r>
    </w:p>
    <w:p w14:paraId="11AC885E" w14:textId="6EE967CC" w:rsidR="00525FA9" w:rsidRDefault="00380348" w:rsidP="00772C14">
      <w:pPr>
        <w:rPr>
          <w:rFonts w:cs="Times New Roman"/>
          <w:szCs w:val="24"/>
        </w:rPr>
      </w:pPr>
      <w:r>
        <w:t>W</w:t>
      </w:r>
      <w:r w:rsidR="00772C14">
        <w:t>e</w:t>
      </w:r>
      <w:r w:rsidR="00FD749C" w:rsidRPr="004A103B">
        <w:t xml:space="preserve"> </w:t>
      </w:r>
      <w:r>
        <w:t xml:space="preserve">have </w:t>
      </w:r>
      <w:r w:rsidR="00FD749C" w:rsidRPr="004A103B">
        <w:t>examine</w:t>
      </w:r>
      <w:r w:rsidR="00A36CDB">
        <w:t>d</w:t>
      </w:r>
      <w:r w:rsidR="00FD749C" w:rsidRPr="004A103B">
        <w:t xml:space="preserve"> </w:t>
      </w:r>
      <w:r w:rsidR="00772C14">
        <w:t xml:space="preserve">the </w:t>
      </w:r>
      <w:r w:rsidR="003B0582" w:rsidRPr="004A103B">
        <w:t>prevalence and impact of pseudo</w:t>
      </w:r>
      <w:r w:rsidR="00772C14">
        <w:t>-</w:t>
      </w:r>
      <w:r w:rsidR="003B0582" w:rsidRPr="004A103B">
        <w:t>families in women’s prisons.</w:t>
      </w:r>
      <w:r w:rsidR="00525FA9">
        <w:t xml:space="preserve"> </w:t>
      </w:r>
      <w:r w:rsidR="00525FA9" w:rsidRPr="00AC4F3C">
        <w:rPr>
          <w:rFonts w:cs="Times New Roman"/>
          <w:szCs w:val="24"/>
        </w:rPr>
        <w:t xml:space="preserve">From the outset, scholars suggested that incarcerated women form prison pseudo-families as substitutes for </w:t>
      </w:r>
      <w:r w:rsidR="007C333E">
        <w:rPr>
          <w:rFonts w:cs="Times New Roman"/>
          <w:szCs w:val="24"/>
        </w:rPr>
        <w:t xml:space="preserve">functional or </w:t>
      </w:r>
      <w:r w:rsidR="00975025">
        <w:rPr>
          <w:rFonts w:cs="Times New Roman"/>
          <w:szCs w:val="24"/>
        </w:rPr>
        <w:t xml:space="preserve">dysfunctional </w:t>
      </w:r>
      <w:r w:rsidR="00525FA9" w:rsidRPr="00AC4F3C">
        <w:rPr>
          <w:rFonts w:cs="Times New Roman"/>
          <w:szCs w:val="24"/>
        </w:rPr>
        <w:t xml:space="preserve">pre-prison family relationships. In his seminal study of a girl’s reformatory school, </w:t>
      </w:r>
      <w:r w:rsidR="00525FA9" w:rsidRPr="004712A8">
        <w:rPr>
          <w:rFonts w:cs="Times New Roman"/>
          <w:szCs w:val="24"/>
        </w:rPr>
        <w:fldChar w:fldCharType="begin"/>
      </w:r>
      <w:r w:rsidR="00525FA9" w:rsidRPr="004712A8">
        <w:rPr>
          <w:rFonts w:cs="Times New Roman"/>
          <w:szCs w:val="24"/>
        </w:rPr>
        <w:instrText xml:space="preserve"> ADDIN ZOTERO_ITEM CSL_CITATION {"citationID":"CSmKcfIU","properties":{"formattedCitation":"(Selling 1931)","plainCitation":"(Selling 1931)","dontUpdate":true,"noteIndex":0},"citationItems":[{"id":1456,"uris":["http://zotero.org/users/5656367/items/C8UVDHML"],"uri":["http://zotero.org/users/5656367/items/C8UVDHML"],"itemData":{"id":1456,"type":"article-journal","abstract":"Group family relationships among girls in correctional institutions seem to grow up as a natural substitute for the family group which the institution mechanism cannot supply. These relationships constitute a complete family outline. They rest on a natural psychological and physiological basis. In addition to the more permanent, stable families, which are woven through all the cottages, are secondary families in single cottages which exist only for short periods. When considered in the light of other types of relationships among girls—individual homosexuality (Lesbianism and pseudo-homosexuality) and friendship—the pseudo-family relationship is seen to be a non-pathological example of relationship between the sexes. (PsycINFO Database Record (c) 2018 APA, all rights reserved)","container-title":"American Journal of Sociology","DOI":"10.1086/215666","ISSN":"1537-5390(Electronic),0002-9602(Print)","note":"publisher-place: US\npublisher: Univ of Chicago Press","page":"247-253","source":"APA PsycNET","title":"The Pseudo-Family","volume":"37","author":[{"family":"Selling","given":"Lowell S."}],"issued":{"date-parts":[["1931"]]}}}],"schema":"https://github.com/citation-style-language/schema/raw/master/csl-citation.json"} </w:instrText>
      </w:r>
      <w:r w:rsidR="00525FA9" w:rsidRPr="004712A8">
        <w:rPr>
          <w:rFonts w:cs="Times New Roman"/>
          <w:szCs w:val="24"/>
        </w:rPr>
        <w:fldChar w:fldCharType="separate"/>
      </w:r>
      <w:r w:rsidR="00525FA9" w:rsidRPr="004712A8">
        <w:rPr>
          <w:rFonts w:cs="Times New Roman"/>
          <w:szCs w:val="24"/>
        </w:rPr>
        <w:t>Selling (1931)</w:t>
      </w:r>
      <w:r w:rsidR="00525FA9" w:rsidRPr="004712A8">
        <w:rPr>
          <w:rFonts w:cs="Times New Roman"/>
          <w:szCs w:val="24"/>
        </w:rPr>
        <w:fldChar w:fldCharType="end"/>
      </w:r>
      <w:r w:rsidR="00525FA9" w:rsidRPr="004712A8">
        <w:rPr>
          <w:rFonts w:cs="Times New Roman"/>
          <w:szCs w:val="24"/>
        </w:rPr>
        <w:t xml:space="preserve"> fou</w:t>
      </w:r>
      <w:r w:rsidR="00525FA9" w:rsidRPr="00AC4F3C">
        <w:rPr>
          <w:rFonts w:cs="Times New Roman"/>
          <w:szCs w:val="24"/>
        </w:rPr>
        <w:t>nd that many delinquent girls were organized in stable family groupings</w:t>
      </w:r>
      <w:r w:rsidR="00525FA9">
        <w:rPr>
          <w:rFonts w:cs="Times New Roman"/>
          <w:szCs w:val="24"/>
        </w:rPr>
        <w:t xml:space="preserve">. </w:t>
      </w:r>
      <w:r w:rsidR="00525FA9" w:rsidRPr="00AC4F3C">
        <w:rPr>
          <w:rFonts w:cs="Times New Roman"/>
          <w:szCs w:val="24"/>
        </w:rPr>
        <w:t xml:space="preserve">Several more recent studies challenged earlier conceptions of pseudo-families as common and palliative in modern women’s prisons. For example, </w:t>
      </w:r>
      <w:r w:rsidR="00525FA9" w:rsidRPr="004712A8">
        <w:rPr>
          <w:rFonts w:cs="Times New Roman"/>
          <w:szCs w:val="24"/>
        </w:rPr>
        <w:fldChar w:fldCharType="begin"/>
      </w:r>
      <w:r w:rsidR="00525FA9" w:rsidRPr="004712A8">
        <w:rPr>
          <w:rFonts w:cs="Times New Roman"/>
          <w:szCs w:val="24"/>
        </w:rPr>
        <w:instrText xml:space="preserve"> ADDIN ZOTERO_ITEM CSL_CITATION {"citationID":"tmaCYiDc","properties":{"formattedCitation":"(Greer 2000)","plainCitation":"(Greer 2000)","dontUpdate":true,"noteIndex":0},"citationItems":[{"id":1463,"uris":["http://zotero.org/users/5656367/items/3E84CNKR"],"uri":["http://zotero.org/users/5656367/items/3E84CNKR"],"itemData":{"id":1463,"type":"article-journal","container-title":"The Prison Journal","issue":"4","page":"442-468","title":"The Changing Nature of Interpersonal Relationships in a Women's Prison","volume":"80","author":[{"family":"Greer","given":"Kimberly R."}],"issued":{"date-parts":[["2000",12,1]]}}}],"schema":"https://github.com/citation-style-language/schema/raw/master/csl-citation.json"} </w:instrText>
      </w:r>
      <w:r w:rsidR="00525FA9" w:rsidRPr="004712A8">
        <w:rPr>
          <w:rFonts w:cs="Times New Roman"/>
          <w:szCs w:val="24"/>
        </w:rPr>
        <w:fldChar w:fldCharType="separate"/>
      </w:r>
      <w:r w:rsidR="00525FA9" w:rsidRPr="004712A8">
        <w:rPr>
          <w:rFonts w:cs="Times New Roman"/>
          <w:szCs w:val="24"/>
        </w:rPr>
        <w:t>Greer (2000: 463)</w:t>
      </w:r>
      <w:r w:rsidR="00525FA9" w:rsidRPr="004712A8">
        <w:rPr>
          <w:rFonts w:cs="Times New Roman"/>
          <w:szCs w:val="24"/>
        </w:rPr>
        <w:fldChar w:fldCharType="end"/>
      </w:r>
      <w:r w:rsidR="00525FA9" w:rsidRPr="00AC4F3C">
        <w:rPr>
          <w:rFonts w:cs="Times New Roman"/>
          <w:szCs w:val="24"/>
        </w:rPr>
        <w:t xml:space="preserve"> interviewed 35 women incarcerated in a Midwest prison and found that kinship networks were “virtually nonexistent” in the facility. </w:t>
      </w:r>
    </w:p>
    <w:p w14:paraId="620AC21E" w14:textId="54142F48" w:rsidR="00525FA9" w:rsidRDefault="00142543" w:rsidP="00525FA9">
      <w:pPr>
        <w:ind w:firstLine="720"/>
      </w:pPr>
      <w:r>
        <w:t>We</w:t>
      </w:r>
      <w:r w:rsidR="003B0582" w:rsidRPr="00B96B57">
        <w:t xml:space="preserve"> use nomination data from study participants to identify women who </w:t>
      </w:r>
      <w:r w:rsidR="00772C14">
        <w:t>were</w:t>
      </w:r>
      <w:r w:rsidR="003B0582" w:rsidRPr="00B96B57">
        <w:t xml:space="preserve"> members of prison pseudo-families and focus particular attention on those self-identifying or nominated as prison mothers (or grandmo</w:t>
      </w:r>
      <w:r w:rsidR="003B0582" w:rsidRPr="006E1C7D">
        <w:t xml:space="preserve">thers). We then examine pseudo-mothers’ relationships with their biological children and compare these to other mothers’ relationships on the units. </w:t>
      </w:r>
      <w:r w:rsidR="00525FA9">
        <w:t>We</w:t>
      </w:r>
      <w:r w:rsidR="00772C14">
        <w:t xml:space="preserve"> create two competing hypotheses for the association between pseudo-motherhood and biological motherhood. According to</w:t>
      </w:r>
      <w:r w:rsidR="003B0582" w:rsidRPr="00B96B57">
        <w:t xml:space="preserve"> the substitution argument, pseudo-mothers </w:t>
      </w:r>
      <w:r w:rsidR="00772C14">
        <w:t>should</w:t>
      </w:r>
      <w:r w:rsidR="003B0582" w:rsidRPr="00B96B57">
        <w:t xml:space="preserve"> have weaker relationships with their biological children than do other incarcerated mothers. Altern</w:t>
      </w:r>
      <w:r w:rsidR="003B0582" w:rsidRPr="006E1C7D">
        <w:t xml:space="preserve">atively, the reproduction hypothesis </w:t>
      </w:r>
      <w:r w:rsidR="00772C14">
        <w:t>predicts</w:t>
      </w:r>
      <w:r w:rsidR="003B0582" w:rsidRPr="006E1C7D">
        <w:t xml:space="preserve"> a null or positive association between pseudo-motherhood and relationships with biological children. </w:t>
      </w:r>
      <w:r w:rsidR="001650FA">
        <w:t>We then appl</w:t>
      </w:r>
      <w:r w:rsidR="0062110A">
        <w:t>y</w:t>
      </w:r>
      <w:r w:rsidR="001650FA">
        <w:t xml:space="preserve"> a</w:t>
      </w:r>
      <w:r w:rsidR="003B0582" w:rsidRPr="00B96B57">
        <w:t xml:space="preserve"> mixed methods analysis to understand both the </w:t>
      </w:r>
      <w:r w:rsidR="003B0582" w:rsidRPr="009974E0">
        <w:rPr>
          <w:i/>
          <w:iCs/>
        </w:rPr>
        <w:t>prevalenc</w:t>
      </w:r>
      <w:r w:rsidR="003B0582" w:rsidRPr="00B96B57">
        <w:t xml:space="preserve">e and </w:t>
      </w:r>
      <w:r w:rsidR="003B0582" w:rsidRPr="009974E0">
        <w:rPr>
          <w:i/>
          <w:iCs/>
        </w:rPr>
        <w:t>meaning</w:t>
      </w:r>
      <w:r w:rsidR="003B0582" w:rsidRPr="00B96B57">
        <w:t xml:space="preserve"> of prison pseudo-families in a contemporary </w:t>
      </w:r>
      <w:r w:rsidR="003B0582" w:rsidRPr="006E1C7D">
        <w:t>women’s prison, along with the connection between mother-child relationships inside and outside of prison.</w:t>
      </w:r>
      <w:r w:rsidR="007D40DE" w:rsidRPr="006E1C7D">
        <w:t xml:space="preserve"> </w:t>
      </w:r>
    </w:p>
    <w:p w14:paraId="1CD500A2" w14:textId="71C8C78D" w:rsidR="002E4C7F" w:rsidRDefault="001650FA" w:rsidP="00525FA9">
      <w:pPr>
        <w:ind w:firstLine="720"/>
        <w:rPr>
          <w:rFonts w:cs="Times New Roman"/>
          <w:szCs w:val="24"/>
        </w:rPr>
      </w:pPr>
      <w:r>
        <w:t>For this analysis, the</w:t>
      </w:r>
      <w:r w:rsidR="002E4C7F">
        <w:t xml:space="preserve"> research sample </w:t>
      </w:r>
      <w:r w:rsidR="00A36CDB">
        <w:t>was</w:t>
      </w:r>
      <w:r w:rsidR="002E4C7F">
        <w:t xml:space="preserve"> restricted to women from units 2 and 3 due to slight changes made to the prison family nominations section of the </w:t>
      </w:r>
      <w:r>
        <w:t>survey</w:t>
      </w:r>
      <w:r w:rsidR="002E4C7F">
        <w:t xml:space="preserve"> instrument between sites one and two. </w:t>
      </w:r>
      <w:r w:rsidR="00C43674">
        <w:t>A survey item was used to identify membership in pseudo</w:t>
      </w:r>
      <w:r>
        <w:t>-</w:t>
      </w:r>
      <w:r w:rsidR="00C43674">
        <w:t xml:space="preserve">families. </w:t>
      </w:r>
      <w:r w:rsidR="00142543">
        <w:rPr>
          <w:rFonts w:cs="Times New Roman"/>
          <w:szCs w:val="24"/>
        </w:rPr>
        <w:t xml:space="preserve">Nearly two-thirds (76 of 119) </w:t>
      </w:r>
      <w:r>
        <w:rPr>
          <w:rFonts w:cs="Times New Roman"/>
          <w:szCs w:val="24"/>
        </w:rPr>
        <w:t xml:space="preserve">of </w:t>
      </w:r>
      <w:r w:rsidR="00142543">
        <w:rPr>
          <w:rFonts w:cs="Times New Roman"/>
          <w:szCs w:val="24"/>
        </w:rPr>
        <w:t>survey respondents agreed they were part of a prison pseudo-family</w:t>
      </w:r>
      <w:r w:rsidR="00142543" w:rsidRPr="00AC4F3C">
        <w:rPr>
          <w:rFonts w:cs="Times New Roman"/>
          <w:szCs w:val="24"/>
        </w:rPr>
        <w:t xml:space="preserve">. If </w:t>
      </w:r>
      <w:r>
        <w:rPr>
          <w:rFonts w:cs="Times New Roman"/>
          <w:szCs w:val="24"/>
        </w:rPr>
        <w:t>respondents</w:t>
      </w:r>
      <w:r w:rsidR="00142543" w:rsidRPr="00AC4F3C">
        <w:rPr>
          <w:rFonts w:cs="Times New Roman"/>
          <w:szCs w:val="24"/>
        </w:rPr>
        <w:t xml:space="preserve"> </w:t>
      </w:r>
      <w:r>
        <w:rPr>
          <w:rFonts w:cs="Times New Roman"/>
          <w:szCs w:val="24"/>
        </w:rPr>
        <w:t>self-</w:t>
      </w:r>
      <w:r w:rsidR="00142543" w:rsidRPr="00AC4F3C">
        <w:rPr>
          <w:rFonts w:cs="Times New Roman"/>
          <w:szCs w:val="24"/>
        </w:rPr>
        <w:t xml:space="preserve">identified </w:t>
      </w:r>
      <w:r>
        <w:rPr>
          <w:rFonts w:cs="Times New Roman"/>
          <w:szCs w:val="24"/>
        </w:rPr>
        <w:t xml:space="preserve">as </w:t>
      </w:r>
      <w:r w:rsidR="00142543" w:rsidRPr="00AC4F3C">
        <w:rPr>
          <w:rFonts w:cs="Times New Roman"/>
          <w:szCs w:val="24"/>
        </w:rPr>
        <w:t>a pseudo-family</w:t>
      </w:r>
      <w:r>
        <w:rPr>
          <w:rFonts w:cs="Times New Roman"/>
          <w:szCs w:val="24"/>
        </w:rPr>
        <w:t xml:space="preserve"> member</w:t>
      </w:r>
      <w:r w:rsidR="00C43674">
        <w:rPr>
          <w:rFonts w:cs="Times New Roman"/>
          <w:szCs w:val="24"/>
        </w:rPr>
        <w:t xml:space="preserve">, </w:t>
      </w:r>
      <w:r>
        <w:rPr>
          <w:rFonts w:cs="Times New Roman"/>
          <w:szCs w:val="24"/>
        </w:rPr>
        <w:t xml:space="preserve">they were asked to </w:t>
      </w:r>
      <w:r w:rsidR="00C43674">
        <w:rPr>
          <w:rFonts w:cs="Times New Roman"/>
          <w:szCs w:val="24"/>
        </w:rPr>
        <w:t>nominat</w:t>
      </w:r>
      <w:r>
        <w:rPr>
          <w:rFonts w:cs="Times New Roman"/>
          <w:szCs w:val="24"/>
        </w:rPr>
        <w:t>e other family</w:t>
      </w:r>
      <w:r w:rsidR="00C43674">
        <w:rPr>
          <w:rFonts w:cs="Times New Roman"/>
          <w:szCs w:val="24"/>
        </w:rPr>
        <w:t xml:space="preserve"> members and </w:t>
      </w:r>
      <w:r>
        <w:rPr>
          <w:rFonts w:cs="Times New Roman"/>
          <w:szCs w:val="24"/>
        </w:rPr>
        <w:t xml:space="preserve">their pseudo-family </w:t>
      </w:r>
      <w:r w:rsidR="00C43674">
        <w:rPr>
          <w:rFonts w:cs="Times New Roman"/>
          <w:szCs w:val="24"/>
        </w:rPr>
        <w:t>roles</w:t>
      </w:r>
      <w:r w:rsidR="00142543">
        <w:rPr>
          <w:rFonts w:cs="Times New Roman"/>
          <w:szCs w:val="24"/>
        </w:rPr>
        <w:t>.</w:t>
      </w:r>
      <w:r w:rsidR="00C43674">
        <w:rPr>
          <w:rFonts w:cs="Times New Roman"/>
          <w:szCs w:val="24"/>
        </w:rPr>
        <w:t xml:space="preserve"> </w:t>
      </w:r>
      <w:r>
        <w:rPr>
          <w:rFonts w:cs="Times New Roman"/>
          <w:szCs w:val="24"/>
        </w:rPr>
        <w:t>We then restrict</w:t>
      </w:r>
      <w:r w:rsidR="00A36CDB">
        <w:rPr>
          <w:rFonts w:cs="Times New Roman"/>
          <w:szCs w:val="24"/>
        </w:rPr>
        <w:t>ed</w:t>
      </w:r>
      <w:r>
        <w:rPr>
          <w:rFonts w:cs="Times New Roman"/>
          <w:szCs w:val="24"/>
        </w:rPr>
        <w:t xml:space="preserve"> our</w:t>
      </w:r>
      <w:r w:rsidR="002E4C7F" w:rsidRPr="00AC4F3C">
        <w:rPr>
          <w:rFonts w:cs="Times New Roman"/>
          <w:szCs w:val="24"/>
        </w:rPr>
        <w:t xml:space="preserve"> analytical sam</w:t>
      </w:r>
      <w:r>
        <w:rPr>
          <w:rFonts w:cs="Times New Roman"/>
          <w:szCs w:val="24"/>
        </w:rPr>
        <w:t>ple</w:t>
      </w:r>
      <w:r w:rsidR="002E4C7F" w:rsidRPr="00AC4F3C">
        <w:rPr>
          <w:rFonts w:cs="Times New Roman"/>
          <w:szCs w:val="24"/>
        </w:rPr>
        <w:t xml:space="preserve"> to those women identified as biological mothers. The survey inquired directly about biological children, yielding 99 self-reported biological mothers</w:t>
      </w:r>
      <w:r>
        <w:rPr>
          <w:rFonts w:cs="Times New Roman"/>
          <w:szCs w:val="24"/>
        </w:rPr>
        <w:t xml:space="preserve"> in the two units</w:t>
      </w:r>
      <w:r w:rsidR="002E4C7F" w:rsidRPr="00AC4F3C">
        <w:rPr>
          <w:rFonts w:cs="Times New Roman"/>
          <w:szCs w:val="24"/>
        </w:rPr>
        <w:t xml:space="preserve">. Administrative visitation records were then used to identify </w:t>
      </w:r>
      <w:r>
        <w:rPr>
          <w:rFonts w:cs="Times New Roman"/>
          <w:szCs w:val="24"/>
        </w:rPr>
        <w:t xml:space="preserve">an </w:t>
      </w:r>
      <w:r w:rsidR="002E4C7F" w:rsidRPr="00AC4F3C">
        <w:rPr>
          <w:rFonts w:cs="Times New Roman"/>
          <w:szCs w:val="24"/>
        </w:rPr>
        <w:t xml:space="preserve">additional 33 women with biological children who did not complete the survey, totaling a sample of 132 women with biological children. </w:t>
      </w:r>
      <w:r w:rsidR="00C43674" w:rsidRPr="00AC4F3C">
        <w:rPr>
          <w:rFonts w:cs="Times New Roman"/>
          <w:szCs w:val="24"/>
        </w:rPr>
        <w:t>Of the 132 women</w:t>
      </w:r>
      <w:r w:rsidR="00C43674">
        <w:rPr>
          <w:rFonts w:cs="Times New Roman"/>
          <w:szCs w:val="24"/>
        </w:rPr>
        <w:t xml:space="preserve">, </w:t>
      </w:r>
      <w:r w:rsidR="00C43674" w:rsidRPr="00AC4F3C">
        <w:rPr>
          <w:rFonts w:cs="Times New Roman"/>
          <w:szCs w:val="24"/>
        </w:rPr>
        <w:t>28 (21%) were identified as pseudo-mothers by a self or peer nomination. The other 104 women (79%) were not considered pseudo-mothers.</w:t>
      </w:r>
    </w:p>
    <w:p w14:paraId="256E7AF7" w14:textId="6437326B" w:rsidR="00DC0983" w:rsidRPr="00DC0983" w:rsidRDefault="00C43674" w:rsidP="00DC0983">
      <w:pPr>
        <w:ind w:firstLine="720"/>
        <w:rPr>
          <w:rFonts w:cs="Times New Roman"/>
          <w:szCs w:val="24"/>
        </w:rPr>
      </w:pPr>
      <w:r w:rsidRPr="00AC4F3C">
        <w:rPr>
          <w:rFonts w:eastAsia="Calibri" w:cs="Times New Roman"/>
          <w:color w:val="000000" w:themeColor="text1"/>
          <w:szCs w:val="24"/>
        </w:rPr>
        <w:t xml:space="preserve">Contrary </w:t>
      </w:r>
      <w:r>
        <w:rPr>
          <w:rFonts w:eastAsia="Calibri" w:cs="Times New Roman"/>
          <w:color w:val="000000" w:themeColor="text1"/>
          <w:szCs w:val="24"/>
        </w:rPr>
        <w:t>to recent studies</w:t>
      </w:r>
      <w:r w:rsidRPr="00AC4F3C">
        <w:rPr>
          <w:rFonts w:eastAsia="Calibri" w:cs="Times New Roman"/>
          <w:color w:val="000000" w:themeColor="text1"/>
          <w:szCs w:val="24"/>
        </w:rPr>
        <w:t>, we found that the majority of our study participants reported pseudo-family membership. In the two prison units we sampled, the pseudo-family appeared alive and well</w:t>
      </w:r>
      <w:r>
        <w:rPr>
          <w:rFonts w:eastAsia="Calibri" w:cs="Times New Roman"/>
          <w:color w:val="000000" w:themeColor="text1"/>
          <w:szCs w:val="24"/>
        </w:rPr>
        <w:t>. To explore the role of biological motherhood in prison pseudo-families, we use</w:t>
      </w:r>
      <w:r w:rsidR="00A36CDB">
        <w:rPr>
          <w:rFonts w:eastAsia="Calibri" w:cs="Times New Roman"/>
          <w:color w:val="000000" w:themeColor="text1"/>
          <w:szCs w:val="24"/>
        </w:rPr>
        <w:t>d</w:t>
      </w:r>
      <w:r>
        <w:rPr>
          <w:rFonts w:eastAsia="Calibri" w:cs="Times New Roman"/>
          <w:color w:val="000000" w:themeColor="text1"/>
          <w:szCs w:val="24"/>
        </w:rPr>
        <w:t xml:space="preserve"> two predictive models, first predicting the role of ‘pseudo mother’, and second predicting difference in relationship quality with biological children of pseudo-mothers and non-pseudo-mothers</w:t>
      </w:r>
      <w:r w:rsidR="00322A5F">
        <w:rPr>
          <w:rFonts w:eastAsia="Calibri" w:cs="Times New Roman"/>
          <w:color w:val="000000" w:themeColor="text1"/>
          <w:szCs w:val="24"/>
        </w:rPr>
        <w:t xml:space="preserve"> measured two ways</w:t>
      </w:r>
      <w:r>
        <w:rPr>
          <w:rFonts w:eastAsia="Calibri" w:cs="Times New Roman"/>
          <w:color w:val="000000" w:themeColor="text1"/>
          <w:szCs w:val="24"/>
        </w:rPr>
        <w:t>.</w:t>
      </w:r>
      <w:r w:rsidR="00322A5F">
        <w:rPr>
          <w:rFonts w:eastAsia="Calibri" w:cs="Times New Roman"/>
          <w:color w:val="000000" w:themeColor="text1"/>
          <w:szCs w:val="24"/>
        </w:rPr>
        <w:t xml:space="preserve"> First, r</w:t>
      </w:r>
      <w:r>
        <w:rPr>
          <w:rFonts w:eastAsia="Calibri" w:cs="Times New Roman"/>
          <w:color w:val="000000" w:themeColor="text1"/>
          <w:szCs w:val="24"/>
        </w:rPr>
        <w:t xml:space="preserve">elationship </w:t>
      </w:r>
      <w:r w:rsidR="001650FA">
        <w:rPr>
          <w:rFonts w:eastAsia="Calibri" w:cs="Times New Roman"/>
          <w:color w:val="000000" w:themeColor="text1"/>
          <w:szCs w:val="24"/>
        </w:rPr>
        <w:t>quality with biological children</w:t>
      </w:r>
      <w:r>
        <w:rPr>
          <w:rFonts w:eastAsia="Calibri" w:cs="Times New Roman"/>
          <w:color w:val="000000" w:themeColor="text1"/>
          <w:szCs w:val="24"/>
        </w:rPr>
        <w:t xml:space="preserve"> was measured with a </w:t>
      </w:r>
      <w:r w:rsidR="001650FA">
        <w:rPr>
          <w:rFonts w:eastAsia="Calibri" w:cs="Times New Roman"/>
          <w:color w:val="000000" w:themeColor="text1"/>
          <w:szCs w:val="24"/>
        </w:rPr>
        <w:t>survey item asking respondents</w:t>
      </w:r>
      <w:r w:rsidRPr="00AC4F3C">
        <w:rPr>
          <w:rFonts w:cs="Times New Roman"/>
          <w:szCs w:val="24"/>
        </w:rPr>
        <w:t xml:space="preserve"> how they perceive</w:t>
      </w:r>
      <w:r w:rsidR="001650FA">
        <w:rPr>
          <w:rFonts w:cs="Times New Roman"/>
          <w:szCs w:val="24"/>
        </w:rPr>
        <w:t>d</w:t>
      </w:r>
      <w:r w:rsidRPr="00AC4F3C">
        <w:rPr>
          <w:rFonts w:cs="Times New Roman"/>
          <w:szCs w:val="24"/>
        </w:rPr>
        <w:t xml:space="preserve"> their relationship with their youngest biological child. This </w:t>
      </w:r>
      <w:r w:rsidR="001650FA">
        <w:rPr>
          <w:rFonts w:cs="Times New Roman"/>
          <w:szCs w:val="24"/>
        </w:rPr>
        <w:t>was</w:t>
      </w:r>
      <w:r w:rsidRPr="00AC4F3C">
        <w:rPr>
          <w:rFonts w:cs="Times New Roman"/>
          <w:szCs w:val="24"/>
        </w:rPr>
        <w:t xml:space="preserve"> scored on a 5-point scale where 1 indicates “poor” and 5 is “excellent.”</w:t>
      </w:r>
      <w:r w:rsidR="00322A5F">
        <w:rPr>
          <w:rFonts w:cs="Times New Roman"/>
          <w:szCs w:val="24"/>
        </w:rPr>
        <w:t xml:space="preserve"> Second, relationship quality </w:t>
      </w:r>
      <w:r w:rsidR="001650FA">
        <w:rPr>
          <w:rFonts w:cs="Times New Roman"/>
          <w:szCs w:val="24"/>
        </w:rPr>
        <w:t>was</w:t>
      </w:r>
      <w:r w:rsidR="00322A5F">
        <w:rPr>
          <w:rFonts w:cs="Times New Roman"/>
          <w:szCs w:val="24"/>
        </w:rPr>
        <w:t xml:space="preserve"> measured with visitation of the mother by her biological children. </w:t>
      </w:r>
      <w:r w:rsidR="00DC0983" w:rsidRPr="00DC0983">
        <w:rPr>
          <w:rFonts w:cs="Times New Roman"/>
          <w:szCs w:val="24"/>
        </w:rPr>
        <w:t xml:space="preserve">Due to the nature of the sample (i.e., that includes both survey and non-survey respondents), we can consider missingness in two ways—overall missingness and item non-response. The former refers to missingness resulting from a portion of unit residents not taking the survey while the latter refers to survey questions respondents refused to answer. Overall missingness ranged from 0% for administrative measures and the marker of biological motherhood to 27% for certain survey responses. Item non-response ranges from 0% to 14.14% (n=14). </w:t>
      </w:r>
    </w:p>
    <w:p w14:paraId="683C33B9" w14:textId="77777777" w:rsidR="000A0F0F" w:rsidRDefault="00DC0983" w:rsidP="00DC0983">
      <w:pPr>
        <w:ind w:firstLine="720"/>
        <w:rPr>
          <w:rFonts w:cs="Times New Roman"/>
          <w:szCs w:val="24"/>
        </w:rPr>
      </w:pPr>
      <w:r w:rsidRPr="00DC0983">
        <w:rPr>
          <w:rFonts w:cs="Times New Roman"/>
          <w:szCs w:val="24"/>
        </w:rPr>
        <w:t xml:space="preserve">We conducted t-tests comparing demographic and sentencing characteristics provided by PADOC of surveyed and non-surveyed mothers. None of the means of these measures were significantly different, suggesting that resulting missingness was randomly distributed. We thus retained mothers who did not take the survey and multiply imputed (m=20) missing values using the “mi estimate” command in Stata 15 (Rubin, 1987; </w:t>
      </w:r>
      <w:proofErr w:type="spellStart"/>
      <w:r w:rsidRPr="00DC0983">
        <w:rPr>
          <w:rFonts w:cs="Times New Roman"/>
          <w:szCs w:val="24"/>
        </w:rPr>
        <w:t>StataCorp</w:t>
      </w:r>
      <w:proofErr w:type="spellEnd"/>
      <w:r w:rsidRPr="00DC0983">
        <w:rPr>
          <w:rFonts w:cs="Times New Roman"/>
          <w:szCs w:val="24"/>
        </w:rPr>
        <w:t xml:space="preserve">, 2017).  </w:t>
      </w:r>
    </w:p>
    <w:tbl>
      <w:tblPr>
        <w:tblpPr w:leftFromText="180" w:rightFromText="180" w:vertAnchor="text" w:horzAnchor="margin" w:tblpY="85"/>
        <w:tblOverlap w:val="never"/>
        <w:tblW w:w="7558" w:type="dxa"/>
        <w:tblLook w:val="04A0" w:firstRow="1" w:lastRow="0" w:firstColumn="1" w:lastColumn="0" w:noHBand="0" w:noVBand="1"/>
      </w:tblPr>
      <w:tblGrid>
        <w:gridCol w:w="4041"/>
        <w:gridCol w:w="909"/>
        <w:gridCol w:w="620"/>
        <w:gridCol w:w="820"/>
        <w:gridCol w:w="1168"/>
      </w:tblGrid>
      <w:tr w:rsidR="00483974" w:rsidRPr="00AC4F3C" w14:paraId="1B50F220" w14:textId="77777777" w:rsidTr="0076627F">
        <w:trPr>
          <w:trHeight w:val="255"/>
        </w:trPr>
        <w:tc>
          <w:tcPr>
            <w:tcW w:w="7558" w:type="dxa"/>
            <w:gridSpan w:val="5"/>
            <w:tcBorders>
              <w:top w:val="nil"/>
              <w:left w:val="nil"/>
              <w:bottom w:val="nil"/>
              <w:right w:val="nil"/>
            </w:tcBorders>
            <w:shd w:val="clear" w:color="auto" w:fill="FFFFFF" w:themeFill="background1"/>
            <w:noWrap/>
            <w:vAlign w:val="bottom"/>
            <w:hideMark/>
          </w:tcPr>
          <w:p w14:paraId="34B4E8BA" w14:textId="77777777" w:rsidR="00483974" w:rsidRPr="009974E0" w:rsidRDefault="00483974" w:rsidP="0076627F">
            <w:pPr>
              <w:spacing w:line="240" w:lineRule="auto"/>
              <w:rPr>
                <w:rFonts w:eastAsia="Times New Roman" w:cs="Times New Roman"/>
                <w:b/>
                <w:bCs/>
                <w:szCs w:val="24"/>
              </w:rPr>
            </w:pPr>
            <w:r w:rsidRPr="009974E0">
              <w:rPr>
                <w:rFonts w:eastAsia="Times New Roman" w:cs="Times New Roman"/>
                <w:b/>
                <w:bCs/>
                <w:szCs w:val="24"/>
              </w:rPr>
              <w:t xml:space="preserve">Table </w:t>
            </w:r>
            <w:r>
              <w:rPr>
                <w:rFonts w:eastAsia="Times New Roman" w:cs="Times New Roman"/>
                <w:b/>
                <w:bCs/>
                <w:szCs w:val="24"/>
              </w:rPr>
              <w:t>3</w:t>
            </w:r>
            <w:r w:rsidRPr="009974E0">
              <w:rPr>
                <w:rFonts w:eastAsia="Times New Roman" w:cs="Times New Roman"/>
                <w:b/>
                <w:bCs/>
                <w:szCs w:val="24"/>
              </w:rPr>
              <w:t>. Logistic Regression of Prison Pseudo-Motherhood</w:t>
            </w:r>
            <w:r w:rsidRPr="009974E0">
              <w:rPr>
                <w:rFonts w:eastAsia="Times New Roman" w:cs="Times New Roman"/>
                <w:b/>
                <w:bCs/>
                <w:szCs w:val="24"/>
                <w:vertAlign w:val="superscript"/>
              </w:rPr>
              <w:t>1</w:t>
            </w:r>
          </w:p>
        </w:tc>
      </w:tr>
      <w:tr w:rsidR="0076627F" w:rsidRPr="00AC4F3C" w14:paraId="7AE55C23" w14:textId="77777777" w:rsidTr="0076627F">
        <w:trPr>
          <w:trHeight w:val="255"/>
        </w:trPr>
        <w:tc>
          <w:tcPr>
            <w:tcW w:w="4041" w:type="dxa"/>
            <w:tcBorders>
              <w:top w:val="single" w:sz="4" w:space="0" w:color="auto"/>
              <w:left w:val="nil"/>
              <w:bottom w:val="single" w:sz="4" w:space="0" w:color="auto"/>
              <w:right w:val="nil"/>
            </w:tcBorders>
            <w:shd w:val="clear" w:color="auto" w:fill="FFFFFF" w:themeFill="background1"/>
            <w:noWrap/>
            <w:vAlign w:val="bottom"/>
            <w:hideMark/>
          </w:tcPr>
          <w:p w14:paraId="0B658534" w14:textId="77777777" w:rsidR="00483974" w:rsidRPr="009C5931" w:rsidRDefault="00483974" w:rsidP="0076627F">
            <w:pPr>
              <w:spacing w:line="240" w:lineRule="auto"/>
              <w:rPr>
                <w:rFonts w:eastAsia="Times New Roman" w:cs="Times New Roman"/>
              </w:rPr>
            </w:pPr>
            <w:r w:rsidRPr="009C5931">
              <w:rPr>
                <w:rFonts w:eastAsia="Times New Roman" w:cs="Times New Roman"/>
              </w:rPr>
              <w:t> </w:t>
            </w:r>
          </w:p>
        </w:tc>
        <w:tc>
          <w:tcPr>
            <w:tcW w:w="909" w:type="dxa"/>
            <w:tcBorders>
              <w:top w:val="single" w:sz="4" w:space="0" w:color="auto"/>
              <w:left w:val="nil"/>
              <w:bottom w:val="single" w:sz="4" w:space="0" w:color="auto"/>
              <w:right w:val="nil"/>
            </w:tcBorders>
            <w:shd w:val="clear" w:color="auto" w:fill="FFFFFF" w:themeFill="background1"/>
            <w:noWrap/>
            <w:vAlign w:val="bottom"/>
            <w:hideMark/>
          </w:tcPr>
          <w:p w14:paraId="50B3CB9F" w14:textId="77777777" w:rsidR="00483974" w:rsidRPr="009C5931" w:rsidRDefault="00483974" w:rsidP="0076627F">
            <w:pPr>
              <w:spacing w:line="240" w:lineRule="auto"/>
              <w:jc w:val="center"/>
              <w:rPr>
                <w:rFonts w:eastAsia="Times New Roman" w:cs="Times New Roman"/>
                <w:i/>
                <w:iCs/>
              </w:rPr>
            </w:pPr>
            <w:r w:rsidRPr="009C5931">
              <w:rPr>
                <w:rFonts w:eastAsia="Times New Roman" w:cs="Times New Roman"/>
                <w:i/>
                <w:iCs/>
              </w:rPr>
              <w:t>B</w:t>
            </w:r>
          </w:p>
        </w:tc>
        <w:tc>
          <w:tcPr>
            <w:tcW w:w="620" w:type="dxa"/>
            <w:tcBorders>
              <w:top w:val="single" w:sz="4" w:space="0" w:color="auto"/>
              <w:left w:val="nil"/>
              <w:bottom w:val="single" w:sz="4" w:space="0" w:color="auto"/>
              <w:right w:val="nil"/>
            </w:tcBorders>
            <w:shd w:val="clear" w:color="auto" w:fill="FFFFFF" w:themeFill="background1"/>
            <w:noWrap/>
            <w:vAlign w:val="bottom"/>
            <w:hideMark/>
          </w:tcPr>
          <w:p w14:paraId="1C97614A" w14:textId="77777777" w:rsidR="00483974" w:rsidRPr="009C5931" w:rsidRDefault="00483974" w:rsidP="0076627F">
            <w:pPr>
              <w:spacing w:line="240" w:lineRule="auto"/>
              <w:jc w:val="center"/>
              <w:rPr>
                <w:rFonts w:eastAsia="Times New Roman" w:cs="Times New Roman"/>
              </w:rPr>
            </w:pPr>
          </w:p>
        </w:tc>
        <w:tc>
          <w:tcPr>
            <w:tcW w:w="820" w:type="dxa"/>
            <w:tcBorders>
              <w:top w:val="single" w:sz="4" w:space="0" w:color="auto"/>
              <w:left w:val="nil"/>
              <w:bottom w:val="single" w:sz="4" w:space="0" w:color="auto"/>
              <w:right w:val="nil"/>
            </w:tcBorders>
            <w:shd w:val="clear" w:color="auto" w:fill="FFFFFF" w:themeFill="background1"/>
            <w:noWrap/>
            <w:vAlign w:val="bottom"/>
            <w:hideMark/>
          </w:tcPr>
          <w:p w14:paraId="767C1524" w14:textId="77777777" w:rsidR="00483974" w:rsidRPr="009C5931" w:rsidRDefault="00483974" w:rsidP="0076627F">
            <w:pPr>
              <w:spacing w:line="240" w:lineRule="auto"/>
              <w:jc w:val="center"/>
              <w:rPr>
                <w:rFonts w:eastAsia="Times New Roman" w:cs="Times New Roman"/>
              </w:rPr>
            </w:pPr>
            <w:r w:rsidRPr="009C5931">
              <w:rPr>
                <w:rFonts w:eastAsia="Times New Roman" w:cs="Times New Roman"/>
              </w:rPr>
              <w:t>SE</w:t>
            </w:r>
          </w:p>
        </w:tc>
        <w:tc>
          <w:tcPr>
            <w:tcW w:w="1168" w:type="dxa"/>
            <w:tcBorders>
              <w:top w:val="nil"/>
              <w:left w:val="nil"/>
              <w:bottom w:val="nil"/>
              <w:right w:val="nil"/>
            </w:tcBorders>
            <w:shd w:val="clear" w:color="auto" w:fill="FFFFFF" w:themeFill="background1"/>
            <w:noWrap/>
            <w:vAlign w:val="bottom"/>
            <w:hideMark/>
          </w:tcPr>
          <w:p w14:paraId="11440E4D"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516D5F21" w14:textId="77777777" w:rsidTr="0076627F">
        <w:trPr>
          <w:trHeight w:val="255"/>
        </w:trPr>
        <w:tc>
          <w:tcPr>
            <w:tcW w:w="4041" w:type="dxa"/>
            <w:tcBorders>
              <w:top w:val="nil"/>
              <w:left w:val="nil"/>
              <w:bottom w:val="nil"/>
              <w:right w:val="nil"/>
            </w:tcBorders>
            <w:shd w:val="clear" w:color="auto" w:fill="FFFFFF" w:themeFill="background1"/>
            <w:noWrap/>
            <w:vAlign w:val="bottom"/>
            <w:hideMark/>
          </w:tcPr>
          <w:p w14:paraId="4C0CA572" w14:textId="77777777" w:rsidR="00483974" w:rsidRPr="009C5931" w:rsidRDefault="00483974" w:rsidP="0076627F">
            <w:pPr>
              <w:spacing w:line="240" w:lineRule="auto"/>
              <w:rPr>
                <w:rFonts w:eastAsia="Times New Roman" w:cs="Times New Roman"/>
              </w:rPr>
            </w:pPr>
            <w:r w:rsidRPr="009C5931">
              <w:rPr>
                <w:rFonts w:eastAsia="Times New Roman" w:cs="Times New Roman"/>
              </w:rPr>
              <w:t>Age</w:t>
            </w:r>
          </w:p>
        </w:tc>
        <w:tc>
          <w:tcPr>
            <w:tcW w:w="909" w:type="dxa"/>
            <w:tcBorders>
              <w:top w:val="nil"/>
              <w:left w:val="nil"/>
              <w:bottom w:val="nil"/>
              <w:right w:val="nil"/>
            </w:tcBorders>
            <w:shd w:val="clear" w:color="auto" w:fill="FFFFFF" w:themeFill="background1"/>
            <w:noWrap/>
            <w:vAlign w:val="bottom"/>
            <w:hideMark/>
          </w:tcPr>
          <w:p w14:paraId="1C33F4A3" w14:textId="77777777" w:rsidR="00483974" w:rsidRPr="009C5931" w:rsidRDefault="00483974" w:rsidP="0076627F">
            <w:pPr>
              <w:spacing w:line="240" w:lineRule="auto"/>
              <w:jc w:val="center"/>
              <w:rPr>
                <w:rFonts w:eastAsia="Times New Roman" w:cs="Times New Roman"/>
              </w:rPr>
            </w:pPr>
            <w:r w:rsidRPr="009C5931">
              <w:rPr>
                <w:rFonts w:cs="Times New Roman"/>
              </w:rPr>
              <w:t>0.126</w:t>
            </w:r>
          </w:p>
        </w:tc>
        <w:tc>
          <w:tcPr>
            <w:tcW w:w="620" w:type="dxa"/>
            <w:tcBorders>
              <w:top w:val="nil"/>
              <w:left w:val="nil"/>
              <w:bottom w:val="nil"/>
              <w:right w:val="nil"/>
            </w:tcBorders>
            <w:shd w:val="clear" w:color="auto" w:fill="FFFFFF" w:themeFill="background1"/>
            <w:noWrap/>
            <w:vAlign w:val="bottom"/>
            <w:hideMark/>
          </w:tcPr>
          <w:p w14:paraId="103CCC1D" w14:textId="77777777" w:rsidR="00483974" w:rsidRPr="009C5931" w:rsidRDefault="00483974" w:rsidP="0076627F">
            <w:pPr>
              <w:spacing w:line="240" w:lineRule="auto"/>
              <w:jc w:val="center"/>
              <w:rPr>
                <w:rFonts w:eastAsia="Times New Roman" w:cs="Times New Roman"/>
              </w:rPr>
            </w:pPr>
            <w:r w:rsidRPr="009C5931">
              <w:rPr>
                <w:rFonts w:cs="Times New Roman"/>
              </w:rPr>
              <w:t>***</w:t>
            </w:r>
          </w:p>
        </w:tc>
        <w:tc>
          <w:tcPr>
            <w:tcW w:w="820" w:type="dxa"/>
            <w:tcBorders>
              <w:top w:val="nil"/>
              <w:left w:val="nil"/>
              <w:bottom w:val="nil"/>
              <w:right w:val="nil"/>
            </w:tcBorders>
            <w:shd w:val="clear" w:color="auto" w:fill="FFFFFF" w:themeFill="background1"/>
            <w:noWrap/>
            <w:vAlign w:val="bottom"/>
            <w:hideMark/>
          </w:tcPr>
          <w:p w14:paraId="076F1F2C" w14:textId="77777777" w:rsidR="00483974" w:rsidRPr="009C5931" w:rsidRDefault="00483974" w:rsidP="0076627F">
            <w:pPr>
              <w:spacing w:line="240" w:lineRule="auto"/>
              <w:jc w:val="center"/>
              <w:rPr>
                <w:rFonts w:eastAsia="Times New Roman" w:cs="Times New Roman"/>
              </w:rPr>
            </w:pPr>
            <w:r w:rsidRPr="009C5931">
              <w:rPr>
                <w:rFonts w:cs="Times New Roman"/>
              </w:rPr>
              <w:t>0.033</w:t>
            </w:r>
          </w:p>
        </w:tc>
        <w:tc>
          <w:tcPr>
            <w:tcW w:w="1168" w:type="dxa"/>
            <w:tcBorders>
              <w:top w:val="nil"/>
              <w:left w:val="nil"/>
              <w:bottom w:val="nil"/>
              <w:right w:val="nil"/>
            </w:tcBorders>
            <w:shd w:val="clear" w:color="auto" w:fill="FFFFFF" w:themeFill="background1"/>
            <w:noWrap/>
            <w:vAlign w:val="bottom"/>
            <w:hideMark/>
          </w:tcPr>
          <w:p w14:paraId="4D0B9C06"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733ADA5E"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6BE763BB" w14:textId="77777777" w:rsidR="00483974" w:rsidRPr="009C5931" w:rsidRDefault="00483974" w:rsidP="0076627F">
            <w:pPr>
              <w:spacing w:line="240" w:lineRule="auto"/>
              <w:rPr>
                <w:rFonts w:eastAsia="Times New Roman" w:cs="Times New Roman"/>
              </w:rPr>
            </w:pPr>
            <w:r w:rsidRPr="009C5931">
              <w:rPr>
                <w:rFonts w:eastAsia="Times New Roman" w:cs="Times New Roman"/>
              </w:rPr>
              <w:t>White</w:t>
            </w:r>
          </w:p>
        </w:tc>
        <w:tc>
          <w:tcPr>
            <w:tcW w:w="909" w:type="dxa"/>
            <w:tcBorders>
              <w:top w:val="nil"/>
              <w:left w:val="nil"/>
              <w:bottom w:val="nil"/>
              <w:right w:val="nil"/>
            </w:tcBorders>
            <w:shd w:val="clear" w:color="auto" w:fill="FFFFFF" w:themeFill="background1"/>
            <w:noWrap/>
            <w:vAlign w:val="bottom"/>
            <w:hideMark/>
          </w:tcPr>
          <w:p w14:paraId="26E9E89B" w14:textId="77777777" w:rsidR="00483974" w:rsidRPr="009C5931" w:rsidRDefault="00483974" w:rsidP="0076627F">
            <w:pPr>
              <w:spacing w:line="240" w:lineRule="auto"/>
              <w:jc w:val="center"/>
              <w:rPr>
                <w:rFonts w:eastAsia="Times New Roman" w:cs="Times New Roman"/>
              </w:rPr>
            </w:pPr>
            <w:r w:rsidRPr="009C5931">
              <w:rPr>
                <w:rFonts w:cs="Times New Roman"/>
              </w:rPr>
              <w:t>0.192</w:t>
            </w:r>
          </w:p>
        </w:tc>
        <w:tc>
          <w:tcPr>
            <w:tcW w:w="620" w:type="dxa"/>
            <w:tcBorders>
              <w:top w:val="nil"/>
              <w:left w:val="nil"/>
              <w:bottom w:val="nil"/>
              <w:right w:val="nil"/>
            </w:tcBorders>
            <w:shd w:val="clear" w:color="auto" w:fill="FFFFFF" w:themeFill="background1"/>
            <w:noWrap/>
            <w:vAlign w:val="bottom"/>
            <w:hideMark/>
          </w:tcPr>
          <w:p w14:paraId="768D5CE5"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2831AE2F" w14:textId="77777777" w:rsidR="00483974" w:rsidRPr="009C5931" w:rsidRDefault="00483974" w:rsidP="0076627F">
            <w:pPr>
              <w:spacing w:line="240" w:lineRule="auto"/>
              <w:jc w:val="center"/>
              <w:rPr>
                <w:rFonts w:eastAsia="Times New Roman" w:cs="Times New Roman"/>
              </w:rPr>
            </w:pPr>
            <w:r w:rsidRPr="009C5931">
              <w:rPr>
                <w:rFonts w:cs="Times New Roman"/>
              </w:rPr>
              <w:t>0.709</w:t>
            </w:r>
          </w:p>
        </w:tc>
        <w:tc>
          <w:tcPr>
            <w:tcW w:w="1168" w:type="dxa"/>
            <w:tcBorders>
              <w:top w:val="nil"/>
              <w:left w:val="nil"/>
              <w:bottom w:val="nil"/>
              <w:right w:val="nil"/>
            </w:tcBorders>
            <w:shd w:val="clear" w:color="auto" w:fill="FFFFFF" w:themeFill="background1"/>
            <w:noWrap/>
            <w:vAlign w:val="bottom"/>
            <w:hideMark/>
          </w:tcPr>
          <w:p w14:paraId="14F4179F"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7533B75A"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33D83D6A" w14:textId="77777777" w:rsidR="00483974" w:rsidRPr="009C5931" w:rsidRDefault="00483974" w:rsidP="0076627F">
            <w:pPr>
              <w:spacing w:line="240" w:lineRule="auto"/>
              <w:rPr>
                <w:rFonts w:eastAsia="Times New Roman" w:cs="Times New Roman"/>
              </w:rPr>
            </w:pPr>
            <w:r w:rsidRPr="009C5931">
              <w:rPr>
                <w:rFonts w:eastAsia="Times New Roman" w:cs="Times New Roman"/>
              </w:rPr>
              <w:t>Education</w:t>
            </w:r>
          </w:p>
        </w:tc>
        <w:tc>
          <w:tcPr>
            <w:tcW w:w="909" w:type="dxa"/>
            <w:tcBorders>
              <w:top w:val="nil"/>
              <w:left w:val="nil"/>
              <w:bottom w:val="nil"/>
              <w:right w:val="nil"/>
            </w:tcBorders>
            <w:shd w:val="clear" w:color="auto" w:fill="FFFFFF" w:themeFill="background1"/>
            <w:noWrap/>
            <w:vAlign w:val="bottom"/>
            <w:hideMark/>
          </w:tcPr>
          <w:p w14:paraId="09B8C954" w14:textId="77777777" w:rsidR="00483974" w:rsidRPr="009C5931" w:rsidRDefault="00483974" w:rsidP="0076627F">
            <w:pPr>
              <w:spacing w:line="240" w:lineRule="auto"/>
              <w:jc w:val="center"/>
              <w:rPr>
                <w:rFonts w:eastAsia="Times New Roman" w:cs="Times New Roman"/>
              </w:rPr>
            </w:pPr>
            <w:r w:rsidRPr="009C5931">
              <w:rPr>
                <w:rFonts w:cs="Times New Roman"/>
              </w:rPr>
              <w:t>-0.167</w:t>
            </w:r>
          </w:p>
        </w:tc>
        <w:tc>
          <w:tcPr>
            <w:tcW w:w="620" w:type="dxa"/>
            <w:tcBorders>
              <w:top w:val="nil"/>
              <w:left w:val="nil"/>
              <w:bottom w:val="nil"/>
              <w:right w:val="nil"/>
            </w:tcBorders>
            <w:shd w:val="clear" w:color="auto" w:fill="FFFFFF" w:themeFill="background1"/>
            <w:noWrap/>
            <w:vAlign w:val="bottom"/>
            <w:hideMark/>
          </w:tcPr>
          <w:p w14:paraId="11104960"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38DBA1A5" w14:textId="77777777" w:rsidR="00483974" w:rsidRPr="009C5931" w:rsidRDefault="00483974" w:rsidP="0076627F">
            <w:pPr>
              <w:spacing w:line="240" w:lineRule="auto"/>
              <w:jc w:val="center"/>
              <w:rPr>
                <w:rFonts w:eastAsia="Times New Roman" w:cs="Times New Roman"/>
              </w:rPr>
            </w:pPr>
            <w:r w:rsidRPr="009C5931">
              <w:rPr>
                <w:rFonts w:cs="Times New Roman"/>
              </w:rPr>
              <w:t>0.165</w:t>
            </w:r>
          </w:p>
        </w:tc>
        <w:tc>
          <w:tcPr>
            <w:tcW w:w="1168" w:type="dxa"/>
            <w:tcBorders>
              <w:top w:val="nil"/>
              <w:left w:val="nil"/>
              <w:bottom w:val="nil"/>
              <w:right w:val="nil"/>
            </w:tcBorders>
            <w:shd w:val="clear" w:color="auto" w:fill="FFFFFF" w:themeFill="background1"/>
            <w:noWrap/>
            <w:vAlign w:val="bottom"/>
            <w:hideMark/>
          </w:tcPr>
          <w:p w14:paraId="5CD51281"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6203AEFD"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5C0DE564" w14:textId="77777777" w:rsidR="00483974" w:rsidRPr="009C5931" w:rsidRDefault="00483974" w:rsidP="0076627F">
            <w:pPr>
              <w:spacing w:line="240" w:lineRule="auto"/>
              <w:rPr>
                <w:rFonts w:eastAsia="Times New Roman" w:cs="Times New Roman"/>
              </w:rPr>
            </w:pPr>
            <w:r w:rsidRPr="009C5931">
              <w:rPr>
                <w:rFonts w:eastAsia="Times New Roman" w:cs="Times New Roman"/>
              </w:rPr>
              <w:t>Time in DOC</w:t>
            </w:r>
          </w:p>
        </w:tc>
        <w:tc>
          <w:tcPr>
            <w:tcW w:w="909" w:type="dxa"/>
            <w:tcBorders>
              <w:top w:val="nil"/>
              <w:left w:val="nil"/>
              <w:bottom w:val="nil"/>
              <w:right w:val="nil"/>
            </w:tcBorders>
            <w:shd w:val="clear" w:color="auto" w:fill="FFFFFF" w:themeFill="background1"/>
            <w:noWrap/>
            <w:vAlign w:val="bottom"/>
            <w:hideMark/>
          </w:tcPr>
          <w:p w14:paraId="1C26042C" w14:textId="77777777" w:rsidR="00483974" w:rsidRPr="009C5931" w:rsidRDefault="00483974" w:rsidP="0076627F">
            <w:pPr>
              <w:spacing w:line="240" w:lineRule="auto"/>
              <w:jc w:val="center"/>
              <w:rPr>
                <w:rFonts w:eastAsia="Times New Roman" w:cs="Times New Roman"/>
              </w:rPr>
            </w:pPr>
            <w:r w:rsidRPr="009C5931">
              <w:rPr>
                <w:rFonts w:cs="Times New Roman"/>
              </w:rPr>
              <w:t>0.034</w:t>
            </w:r>
          </w:p>
        </w:tc>
        <w:tc>
          <w:tcPr>
            <w:tcW w:w="620" w:type="dxa"/>
            <w:tcBorders>
              <w:top w:val="nil"/>
              <w:left w:val="nil"/>
              <w:bottom w:val="nil"/>
              <w:right w:val="nil"/>
            </w:tcBorders>
            <w:shd w:val="clear" w:color="auto" w:fill="FFFFFF" w:themeFill="background1"/>
            <w:noWrap/>
            <w:vAlign w:val="bottom"/>
            <w:hideMark/>
          </w:tcPr>
          <w:p w14:paraId="797AD376"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780F6102" w14:textId="77777777" w:rsidR="00483974" w:rsidRPr="009C5931" w:rsidRDefault="00483974" w:rsidP="0076627F">
            <w:pPr>
              <w:spacing w:line="240" w:lineRule="auto"/>
              <w:jc w:val="center"/>
              <w:rPr>
                <w:rFonts w:eastAsia="Times New Roman" w:cs="Times New Roman"/>
              </w:rPr>
            </w:pPr>
            <w:r w:rsidRPr="009C5931">
              <w:rPr>
                <w:rFonts w:cs="Times New Roman"/>
              </w:rPr>
              <w:t>0.046</w:t>
            </w:r>
          </w:p>
        </w:tc>
        <w:tc>
          <w:tcPr>
            <w:tcW w:w="1168" w:type="dxa"/>
            <w:tcBorders>
              <w:top w:val="nil"/>
              <w:left w:val="nil"/>
              <w:bottom w:val="nil"/>
              <w:right w:val="nil"/>
            </w:tcBorders>
            <w:shd w:val="clear" w:color="auto" w:fill="FFFFFF" w:themeFill="background1"/>
            <w:noWrap/>
            <w:vAlign w:val="bottom"/>
            <w:hideMark/>
          </w:tcPr>
          <w:p w14:paraId="01096F69"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1BD148C4"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425D0151" w14:textId="77777777" w:rsidR="00483974" w:rsidRPr="009C5931" w:rsidRDefault="00483974" w:rsidP="0076627F">
            <w:pPr>
              <w:spacing w:line="240" w:lineRule="auto"/>
              <w:rPr>
                <w:rFonts w:eastAsia="Times New Roman" w:cs="Times New Roman"/>
              </w:rPr>
            </w:pPr>
            <w:r w:rsidRPr="009C5931">
              <w:rPr>
                <w:rFonts w:eastAsia="Times New Roman" w:cs="Times New Roman"/>
              </w:rPr>
              <w:t>General Population</w:t>
            </w:r>
          </w:p>
        </w:tc>
        <w:tc>
          <w:tcPr>
            <w:tcW w:w="909" w:type="dxa"/>
            <w:tcBorders>
              <w:top w:val="nil"/>
              <w:left w:val="nil"/>
              <w:bottom w:val="nil"/>
              <w:right w:val="nil"/>
            </w:tcBorders>
            <w:shd w:val="clear" w:color="auto" w:fill="FFFFFF" w:themeFill="background1"/>
            <w:noWrap/>
            <w:vAlign w:val="bottom"/>
            <w:hideMark/>
          </w:tcPr>
          <w:p w14:paraId="05086AD4" w14:textId="77777777" w:rsidR="00483974" w:rsidRPr="009C5931" w:rsidRDefault="00483974" w:rsidP="0076627F">
            <w:pPr>
              <w:spacing w:line="240" w:lineRule="auto"/>
              <w:jc w:val="center"/>
              <w:rPr>
                <w:rFonts w:eastAsia="Times New Roman" w:cs="Times New Roman"/>
              </w:rPr>
            </w:pPr>
            <w:r w:rsidRPr="009C5931">
              <w:rPr>
                <w:rFonts w:cs="Times New Roman"/>
              </w:rPr>
              <w:t>-1.071</w:t>
            </w:r>
          </w:p>
        </w:tc>
        <w:tc>
          <w:tcPr>
            <w:tcW w:w="620" w:type="dxa"/>
            <w:tcBorders>
              <w:top w:val="nil"/>
              <w:left w:val="nil"/>
              <w:bottom w:val="nil"/>
              <w:right w:val="nil"/>
            </w:tcBorders>
            <w:shd w:val="clear" w:color="auto" w:fill="FFFFFF" w:themeFill="background1"/>
            <w:noWrap/>
            <w:vAlign w:val="bottom"/>
            <w:hideMark/>
          </w:tcPr>
          <w:p w14:paraId="2EF6F7CC" w14:textId="77777777" w:rsidR="00483974" w:rsidRPr="009C5931" w:rsidRDefault="00483974" w:rsidP="0076627F">
            <w:pPr>
              <w:spacing w:line="240" w:lineRule="auto"/>
              <w:jc w:val="center"/>
              <w:rPr>
                <w:rFonts w:eastAsia="Times New Roman" w:cs="Times New Roman"/>
              </w:rPr>
            </w:pPr>
            <w:r w:rsidRPr="009C5931">
              <w:rPr>
                <w:rFonts w:cs="Times New Roman"/>
              </w:rPr>
              <w:t>†</w:t>
            </w:r>
          </w:p>
        </w:tc>
        <w:tc>
          <w:tcPr>
            <w:tcW w:w="820" w:type="dxa"/>
            <w:tcBorders>
              <w:top w:val="nil"/>
              <w:left w:val="nil"/>
              <w:bottom w:val="nil"/>
              <w:right w:val="nil"/>
            </w:tcBorders>
            <w:shd w:val="clear" w:color="auto" w:fill="FFFFFF" w:themeFill="background1"/>
            <w:noWrap/>
            <w:vAlign w:val="bottom"/>
            <w:hideMark/>
          </w:tcPr>
          <w:p w14:paraId="538D0A1A" w14:textId="77777777" w:rsidR="00483974" w:rsidRPr="009C5931" w:rsidRDefault="00483974" w:rsidP="0076627F">
            <w:pPr>
              <w:spacing w:line="240" w:lineRule="auto"/>
              <w:jc w:val="center"/>
              <w:rPr>
                <w:rFonts w:eastAsia="Times New Roman" w:cs="Times New Roman"/>
              </w:rPr>
            </w:pPr>
            <w:r w:rsidRPr="009C5931">
              <w:rPr>
                <w:rFonts w:cs="Times New Roman"/>
              </w:rPr>
              <w:t>0.614</w:t>
            </w:r>
          </w:p>
        </w:tc>
        <w:tc>
          <w:tcPr>
            <w:tcW w:w="1168" w:type="dxa"/>
            <w:tcBorders>
              <w:top w:val="nil"/>
              <w:left w:val="nil"/>
              <w:bottom w:val="nil"/>
              <w:right w:val="nil"/>
            </w:tcBorders>
            <w:shd w:val="clear" w:color="auto" w:fill="FFFFFF" w:themeFill="background1"/>
            <w:noWrap/>
            <w:vAlign w:val="bottom"/>
            <w:hideMark/>
          </w:tcPr>
          <w:p w14:paraId="64C95BBD"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6672B315"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46E13848" w14:textId="77777777" w:rsidR="00483974" w:rsidRPr="009C5931" w:rsidRDefault="00483974" w:rsidP="0076627F">
            <w:pPr>
              <w:spacing w:line="240" w:lineRule="auto"/>
              <w:rPr>
                <w:rFonts w:eastAsia="Times New Roman" w:cs="Times New Roman"/>
              </w:rPr>
            </w:pPr>
            <w:r w:rsidRPr="009C5931">
              <w:rPr>
                <w:rFonts w:eastAsia="Times New Roman" w:cs="Times New Roman"/>
              </w:rPr>
              <w:t>Number of Children</w:t>
            </w:r>
          </w:p>
        </w:tc>
        <w:tc>
          <w:tcPr>
            <w:tcW w:w="909" w:type="dxa"/>
            <w:tcBorders>
              <w:top w:val="nil"/>
              <w:left w:val="nil"/>
              <w:bottom w:val="nil"/>
              <w:right w:val="nil"/>
            </w:tcBorders>
            <w:shd w:val="clear" w:color="auto" w:fill="FFFFFF" w:themeFill="background1"/>
            <w:noWrap/>
            <w:vAlign w:val="bottom"/>
            <w:hideMark/>
          </w:tcPr>
          <w:p w14:paraId="4938FB05" w14:textId="77777777" w:rsidR="00483974" w:rsidRPr="009C5931" w:rsidRDefault="00483974" w:rsidP="0076627F">
            <w:pPr>
              <w:spacing w:line="240" w:lineRule="auto"/>
              <w:jc w:val="center"/>
              <w:rPr>
                <w:rFonts w:eastAsia="Times New Roman" w:cs="Times New Roman"/>
              </w:rPr>
            </w:pPr>
            <w:r w:rsidRPr="009C5931">
              <w:rPr>
                <w:rFonts w:cs="Times New Roman"/>
              </w:rPr>
              <w:t>0.039</w:t>
            </w:r>
          </w:p>
        </w:tc>
        <w:tc>
          <w:tcPr>
            <w:tcW w:w="620" w:type="dxa"/>
            <w:tcBorders>
              <w:top w:val="nil"/>
              <w:left w:val="nil"/>
              <w:bottom w:val="nil"/>
              <w:right w:val="nil"/>
            </w:tcBorders>
            <w:shd w:val="clear" w:color="auto" w:fill="FFFFFF" w:themeFill="background1"/>
            <w:noWrap/>
            <w:vAlign w:val="bottom"/>
            <w:hideMark/>
          </w:tcPr>
          <w:p w14:paraId="2A02D8FE"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4A4B4A82" w14:textId="77777777" w:rsidR="00483974" w:rsidRPr="009C5931" w:rsidRDefault="00483974" w:rsidP="0076627F">
            <w:pPr>
              <w:spacing w:line="240" w:lineRule="auto"/>
              <w:jc w:val="center"/>
              <w:rPr>
                <w:rFonts w:eastAsia="Times New Roman" w:cs="Times New Roman"/>
              </w:rPr>
            </w:pPr>
            <w:r w:rsidRPr="009C5931">
              <w:rPr>
                <w:rFonts w:cs="Times New Roman"/>
              </w:rPr>
              <w:t>0.200</w:t>
            </w:r>
          </w:p>
        </w:tc>
        <w:tc>
          <w:tcPr>
            <w:tcW w:w="1168" w:type="dxa"/>
            <w:tcBorders>
              <w:top w:val="nil"/>
              <w:left w:val="nil"/>
              <w:bottom w:val="nil"/>
              <w:right w:val="nil"/>
            </w:tcBorders>
            <w:shd w:val="clear" w:color="auto" w:fill="FFFFFF" w:themeFill="background1"/>
            <w:noWrap/>
            <w:vAlign w:val="bottom"/>
            <w:hideMark/>
          </w:tcPr>
          <w:p w14:paraId="45764CF2"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0C9F45F5" w14:textId="77777777" w:rsidTr="0076627F">
        <w:trPr>
          <w:trHeight w:val="300"/>
        </w:trPr>
        <w:tc>
          <w:tcPr>
            <w:tcW w:w="4950" w:type="dxa"/>
            <w:gridSpan w:val="2"/>
            <w:tcBorders>
              <w:top w:val="nil"/>
              <w:left w:val="nil"/>
              <w:bottom w:val="nil"/>
              <w:right w:val="nil"/>
            </w:tcBorders>
            <w:shd w:val="clear" w:color="auto" w:fill="FFFFFF" w:themeFill="background1"/>
            <w:noWrap/>
            <w:vAlign w:val="bottom"/>
            <w:hideMark/>
          </w:tcPr>
          <w:p w14:paraId="594D1E4B" w14:textId="77777777" w:rsidR="00483974" w:rsidRPr="009C5931" w:rsidRDefault="00483974" w:rsidP="0076627F">
            <w:pPr>
              <w:spacing w:line="240" w:lineRule="auto"/>
              <w:rPr>
                <w:rFonts w:eastAsia="Times New Roman" w:cs="Times New Roman"/>
              </w:rPr>
            </w:pPr>
            <w:r w:rsidRPr="009C5931">
              <w:rPr>
                <w:rFonts w:eastAsia="Times New Roman" w:cs="Times New Roman"/>
              </w:rPr>
              <w:t>Offense Type (Reference = Drug Offense)</w:t>
            </w:r>
          </w:p>
        </w:tc>
        <w:tc>
          <w:tcPr>
            <w:tcW w:w="620" w:type="dxa"/>
            <w:tcBorders>
              <w:top w:val="nil"/>
              <w:left w:val="nil"/>
              <w:bottom w:val="nil"/>
              <w:right w:val="nil"/>
            </w:tcBorders>
            <w:shd w:val="clear" w:color="auto" w:fill="FFFFFF" w:themeFill="background1"/>
            <w:noWrap/>
            <w:vAlign w:val="bottom"/>
            <w:hideMark/>
          </w:tcPr>
          <w:p w14:paraId="7E901223"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7814C252" w14:textId="77777777" w:rsidR="00483974" w:rsidRPr="009C5931" w:rsidRDefault="00483974" w:rsidP="0076627F">
            <w:pPr>
              <w:spacing w:line="240" w:lineRule="auto"/>
              <w:jc w:val="center"/>
              <w:rPr>
                <w:rFonts w:eastAsia="Times New Roman" w:cs="Times New Roman"/>
              </w:rPr>
            </w:pPr>
          </w:p>
        </w:tc>
        <w:tc>
          <w:tcPr>
            <w:tcW w:w="1168" w:type="dxa"/>
            <w:tcBorders>
              <w:top w:val="nil"/>
              <w:left w:val="nil"/>
              <w:bottom w:val="nil"/>
              <w:right w:val="nil"/>
            </w:tcBorders>
            <w:shd w:val="clear" w:color="auto" w:fill="FFFFFF" w:themeFill="background1"/>
            <w:noWrap/>
            <w:vAlign w:val="bottom"/>
            <w:hideMark/>
          </w:tcPr>
          <w:p w14:paraId="4F6FBC7F" w14:textId="77777777" w:rsidR="00483974" w:rsidRPr="00AC4F3C" w:rsidRDefault="00483974" w:rsidP="0076627F">
            <w:pPr>
              <w:spacing w:line="240" w:lineRule="auto"/>
              <w:rPr>
                <w:rFonts w:eastAsia="Times New Roman" w:cs="Times New Roman"/>
                <w:sz w:val="20"/>
                <w:szCs w:val="20"/>
              </w:rPr>
            </w:pPr>
            <w:r w:rsidRPr="00AC4F3C">
              <w:rPr>
                <w:rFonts w:cs="Times New Roman"/>
                <w:sz w:val="20"/>
                <w:szCs w:val="20"/>
              </w:rPr>
              <w:t> </w:t>
            </w:r>
          </w:p>
        </w:tc>
      </w:tr>
      <w:tr w:rsidR="0076627F" w:rsidRPr="00AC4F3C" w14:paraId="318BD73D"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554B781B" w14:textId="77777777" w:rsidR="00483974" w:rsidRPr="009C5931" w:rsidRDefault="00483974" w:rsidP="0076627F">
            <w:pPr>
              <w:spacing w:line="240" w:lineRule="auto"/>
              <w:rPr>
                <w:rFonts w:eastAsia="Times New Roman" w:cs="Times New Roman"/>
              </w:rPr>
            </w:pPr>
            <w:r w:rsidRPr="009C5931">
              <w:rPr>
                <w:rFonts w:eastAsia="Times New Roman" w:cs="Times New Roman"/>
              </w:rPr>
              <w:t>Violent</w:t>
            </w:r>
          </w:p>
        </w:tc>
        <w:tc>
          <w:tcPr>
            <w:tcW w:w="909" w:type="dxa"/>
            <w:tcBorders>
              <w:top w:val="nil"/>
              <w:left w:val="nil"/>
              <w:bottom w:val="nil"/>
              <w:right w:val="nil"/>
            </w:tcBorders>
            <w:shd w:val="clear" w:color="auto" w:fill="FFFFFF" w:themeFill="background1"/>
            <w:noWrap/>
            <w:vAlign w:val="bottom"/>
            <w:hideMark/>
          </w:tcPr>
          <w:p w14:paraId="4B4B952D" w14:textId="77777777" w:rsidR="00483974" w:rsidRPr="009C5931" w:rsidRDefault="00483974" w:rsidP="0076627F">
            <w:pPr>
              <w:spacing w:line="240" w:lineRule="auto"/>
              <w:jc w:val="center"/>
              <w:rPr>
                <w:rFonts w:eastAsia="Times New Roman" w:cs="Times New Roman"/>
              </w:rPr>
            </w:pPr>
            <w:r w:rsidRPr="009C5931">
              <w:rPr>
                <w:rFonts w:cs="Times New Roman"/>
              </w:rPr>
              <w:t>-0.924</w:t>
            </w:r>
          </w:p>
        </w:tc>
        <w:tc>
          <w:tcPr>
            <w:tcW w:w="620" w:type="dxa"/>
            <w:tcBorders>
              <w:top w:val="nil"/>
              <w:left w:val="nil"/>
              <w:bottom w:val="nil"/>
              <w:right w:val="nil"/>
            </w:tcBorders>
            <w:shd w:val="clear" w:color="auto" w:fill="FFFFFF" w:themeFill="background1"/>
            <w:noWrap/>
            <w:vAlign w:val="bottom"/>
            <w:hideMark/>
          </w:tcPr>
          <w:p w14:paraId="2DA6B25F"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6F15A3E0" w14:textId="77777777" w:rsidR="00483974" w:rsidRPr="009C5931" w:rsidRDefault="00483974" w:rsidP="0076627F">
            <w:pPr>
              <w:spacing w:line="240" w:lineRule="auto"/>
              <w:jc w:val="center"/>
              <w:rPr>
                <w:rFonts w:eastAsia="Times New Roman" w:cs="Times New Roman"/>
              </w:rPr>
            </w:pPr>
            <w:r w:rsidRPr="009C5931">
              <w:rPr>
                <w:rFonts w:cs="Times New Roman"/>
              </w:rPr>
              <w:t>0.802</w:t>
            </w:r>
          </w:p>
        </w:tc>
        <w:tc>
          <w:tcPr>
            <w:tcW w:w="1168" w:type="dxa"/>
            <w:tcBorders>
              <w:top w:val="nil"/>
              <w:left w:val="nil"/>
              <w:bottom w:val="nil"/>
              <w:right w:val="nil"/>
            </w:tcBorders>
            <w:shd w:val="clear" w:color="auto" w:fill="FFFFFF" w:themeFill="background1"/>
            <w:noWrap/>
            <w:vAlign w:val="bottom"/>
            <w:hideMark/>
          </w:tcPr>
          <w:p w14:paraId="2C3CBF83"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36931229"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5CCD000C" w14:textId="77777777" w:rsidR="00483974" w:rsidRPr="009C5931" w:rsidRDefault="00483974" w:rsidP="0076627F">
            <w:pPr>
              <w:spacing w:line="240" w:lineRule="auto"/>
              <w:rPr>
                <w:rFonts w:eastAsia="Times New Roman" w:cs="Times New Roman"/>
              </w:rPr>
            </w:pPr>
            <w:r w:rsidRPr="009C5931">
              <w:rPr>
                <w:rFonts w:eastAsia="Times New Roman" w:cs="Times New Roman"/>
              </w:rPr>
              <w:t>Property/Other</w:t>
            </w:r>
          </w:p>
        </w:tc>
        <w:tc>
          <w:tcPr>
            <w:tcW w:w="909" w:type="dxa"/>
            <w:tcBorders>
              <w:top w:val="nil"/>
              <w:left w:val="nil"/>
              <w:bottom w:val="nil"/>
              <w:right w:val="nil"/>
            </w:tcBorders>
            <w:shd w:val="clear" w:color="auto" w:fill="FFFFFF" w:themeFill="background1"/>
            <w:noWrap/>
            <w:vAlign w:val="bottom"/>
            <w:hideMark/>
          </w:tcPr>
          <w:p w14:paraId="3F87B1BD" w14:textId="77777777" w:rsidR="00483974" w:rsidRPr="009C5931" w:rsidRDefault="00483974" w:rsidP="0076627F">
            <w:pPr>
              <w:spacing w:line="240" w:lineRule="auto"/>
              <w:jc w:val="center"/>
              <w:rPr>
                <w:rFonts w:eastAsia="Times New Roman" w:cs="Times New Roman"/>
              </w:rPr>
            </w:pPr>
            <w:r w:rsidRPr="009C5931">
              <w:rPr>
                <w:rFonts w:cs="Times New Roman"/>
              </w:rPr>
              <w:t>-0.138</w:t>
            </w:r>
          </w:p>
        </w:tc>
        <w:tc>
          <w:tcPr>
            <w:tcW w:w="620" w:type="dxa"/>
            <w:tcBorders>
              <w:top w:val="nil"/>
              <w:left w:val="nil"/>
              <w:bottom w:val="nil"/>
              <w:right w:val="nil"/>
            </w:tcBorders>
            <w:shd w:val="clear" w:color="auto" w:fill="FFFFFF" w:themeFill="background1"/>
            <w:noWrap/>
            <w:vAlign w:val="bottom"/>
            <w:hideMark/>
          </w:tcPr>
          <w:p w14:paraId="53BA7048"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32726514" w14:textId="77777777" w:rsidR="00483974" w:rsidRPr="009C5931" w:rsidRDefault="00483974" w:rsidP="0076627F">
            <w:pPr>
              <w:spacing w:line="240" w:lineRule="auto"/>
              <w:jc w:val="center"/>
              <w:rPr>
                <w:rFonts w:eastAsia="Times New Roman" w:cs="Times New Roman"/>
              </w:rPr>
            </w:pPr>
            <w:r w:rsidRPr="009C5931">
              <w:rPr>
                <w:rFonts w:cs="Times New Roman"/>
              </w:rPr>
              <w:t>0.673</w:t>
            </w:r>
          </w:p>
        </w:tc>
        <w:tc>
          <w:tcPr>
            <w:tcW w:w="1168" w:type="dxa"/>
            <w:tcBorders>
              <w:top w:val="nil"/>
              <w:left w:val="nil"/>
              <w:bottom w:val="nil"/>
              <w:right w:val="nil"/>
            </w:tcBorders>
            <w:shd w:val="clear" w:color="auto" w:fill="FFFFFF" w:themeFill="background1"/>
            <w:noWrap/>
            <w:vAlign w:val="bottom"/>
            <w:hideMark/>
          </w:tcPr>
          <w:p w14:paraId="699C91D2"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663469B3"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432C85D0" w14:textId="77777777" w:rsidR="00483974" w:rsidRPr="009C5931" w:rsidRDefault="00483974" w:rsidP="0076627F">
            <w:pPr>
              <w:spacing w:line="240" w:lineRule="auto"/>
              <w:rPr>
                <w:rFonts w:eastAsia="Times New Roman" w:cs="Times New Roman"/>
              </w:rPr>
            </w:pPr>
            <w:r w:rsidRPr="009C5931">
              <w:rPr>
                <w:rFonts w:eastAsia="Times New Roman" w:cs="Times New Roman"/>
              </w:rPr>
              <w:t>Instability Index</w:t>
            </w:r>
          </w:p>
        </w:tc>
        <w:tc>
          <w:tcPr>
            <w:tcW w:w="909" w:type="dxa"/>
            <w:tcBorders>
              <w:top w:val="nil"/>
              <w:left w:val="nil"/>
              <w:bottom w:val="nil"/>
              <w:right w:val="nil"/>
            </w:tcBorders>
            <w:shd w:val="clear" w:color="auto" w:fill="FFFFFF" w:themeFill="background1"/>
            <w:noWrap/>
            <w:vAlign w:val="bottom"/>
            <w:hideMark/>
          </w:tcPr>
          <w:p w14:paraId="1E164B04" w14:textId="77777777" w:rsidR="00483974" w:rsidRPr="009C5931" w:rsidRDefault="00483974" w:rsidP="0076627F">
            <w:pPr>
              <w:spacing w:line="240" w:lineRule="auto"/>
              <w:jc w:val="center"/>
              <w:rPr>
                <w:rFonts w:eastAsia="Times New Roman" w:cs="Times New Roman"/>
              </w:rPr>
            </w:pPr>
            <w:r w:rsidRPr="009C5931">
              <w:rPr>
                <w:rFonts w:cs="Times New Roman"/>
              </w:rPr>
              <w:t>-0.367</w:t>
            </w:r>
          </w:p>
        </w:tc>
        <w:tc>
          <w:tcPr>
            <w:tcW w:w="620" w:type="dxa"/>
            <w:tcBorders>
              <w:top w:val="nil"/>
              <w:left w:val="nil"/>
              <w:bottom w:val="nil"/>
              <w:right w:val="nil"/>
            </w:tcBorders>
            <w:shd w:val="clear" w:color="auto" w:fill="FFFFFF" w:themeFill="background1"/>
            <w:noWrap/>
            <w:vAlign w:val="bottom"/>
            <w:hideMark/>
          </w:tcPr>
          <w:p w14:paraId="584892BF"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73328F5C" w14:textId="77777777" w:rsidR="00483974" w:rsidRPr="009C5931" w:rsidRDefault="00483974" w:rsidP="0076627F">
            <w:pPr>
              <w:spacing w:line="240" w:lineRule="auto"/>
              <w:jc w:val="center"/>
              <w:rPr>
                <w:rFonts w:eastAsia="Times New Roman" w:cs="Times New Roman"/>
              </w:rPr>
            </w:pPr>
            <w:r w:rsidRPr="009C5931">
              <w:rPr>
                <w:rFonts w:cs="Times New Roman"/>
              </w:rPr>
              <w:t>0.303</w:t>
            </w:r>
          </w:p>
        </w:tc>
        <w:tc>
          <w:tcPr>
            <w:tcW w:w="1168" w:type="dxa"/>
            <w:tcBorders>
              <w:top w:val="nil"/>
              <w:left w:val="nil"/>
              <w:bottom w:val="nil"/>
              <w:right w:val="nil"/>
            </w:tcBorders>
            <w:shd w:val="clear" w:color="auto" w:fill="FFFFFF" w:themeFill="background1"/>
            <w:noWrap/>
            <w:vAlign w:val="bottom"/>
            <w:hideMark/>
          </w:tcPr>
          <w:p w14:paraId="75B2C4CA"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57E1EA0E" w14:textId="77777777" w:rsidTr="0076627F">
        <w:trPr>
          <w:trHeight w:val="300"/>
        </w:trPr>
        <w:tc>
          <w:tcPr>
            <w:tcW w:w="4041" w:type="dxa"/>
            <w:tcBorders>
              <w:top w:val="nil"/>
              <w:left w:val="nil"/>
              <w:bottom w:val="nil"/>
              <w:right w:val="nil"/>
            </w:tcBorders>
            <w:shd w:val="clear" w:color="auto" w:fill="FFFFFF" w:themeFill="background1"/>
            <w:noWrap/>
            <w:vAlign w:val="bottom"/>
            <w:hideMark/>
          </w:tcPr>
          <w:p w14:paraId="03C7DCA9" w14:textId="77777777" w:rsidR="00483974" w:rsidRPr="009C5931" w:rsidRDefault="00483974" w:rsidP="0076627F">
            <w:pPr>
              <w:spacing w:line="240" w:lineRule="auto"/>
              <w:rPr>
                <w:rFonts w:eastAsia="Times New Roman" w:cs="Times New Roman"/>
              </w:rPr>
            </w:pPr>
            <w:r w:rsidRPr="009C5931">
              <w:rPr>
                <w:rFonts w:eastAsia="Times New Roman" w:cs="Times New Roman"/>
              </w:rPr>
              <w:t>Substance Use Disorder</w:t>
            </w:r>
          </w:p>
        </w:tc>
        <w:tc>
          <w:tcPr>
            <w:tcW w:w="909" w:type="dxa"/>
            <w:tcBorders>
              <w:top w:val="nil"/>
              <w:left w:val="nil"/>
              <w:bottom w:val="nil"/>
              <w:right w:val="nil"/>
            </w:tcBorders>
            <w:shd w:val="clear" w:color="auto" w:fill="FFFFFF" w:themeFill="background1"/>
            <w:noWrap/>
            <w:vAlign w:val="bottom"/>
            <w:hideMark/>
          </w:tcPr>
          <w:p w14:paraId="2568F0B3" w14:textId="77777777" w:rsidR="00483974" w:rsidRPr="009C5931" w:rsidRDefault="00483974" w:rsidP="0076627F">
            <w:pPr>
              <w:spacing w:line="240" w:lineRule="auto"/>
              <w:jc w:val="center"/>
              <w:rPr>
                <w:rFonts w:eastAsia="Times New Roman" w:cs="Times New Roman"/>
              </w:rPr>
            </w:pPr>
            <w:r w:rsidRPr="009C5931">
              <w:rPr>
                <w:rFonts w:cs="Times New Roman"/>
              </w:rPr>
              <w:t>-0.172</w:t>
            </w:r>
          </w:p>
        </w:tc>
        <w:tc>
          <w:tcPr>
            <w:tcW w:w="620" w:type="dxa"/>
            <w:tcBorders>
              <w:top w:val="nil"/>
              <w:left w:val="nil"/>
              <w:bottom w:val="nil"/>
              <w:right w:val="nil"/>
            </w:tcBorders>
            <w:shd w:val="clear" w:color="auto" w:fill="FFFFFF" w:themeFill="background1"/>
            <w:noWrap/>
            <w:vAlign w:val="bottom"/>
            <w:hideMark/>
          </w:tcPr>
          <w:p w14:paraId="45E6CA6F" w14:textId="77777777" w:rsidR="00483974" w:rsidRPr="009C5931" w:rsidRDefault="00483974" w:rsidP="0076627F">
            <w:pPr>
              <w:spacing w:line="240" w:lineRule="auto"/>
              <w:jc w:val="center"/>
              <w:rPr>
                <w:rFonts w:eastAsia="Times New Roman" w:cs="Times New Roman"/>
              </w:rPr>
            </w:pPr>
          </w:p>
        </w:tc>
        <w:tc>
          <w:tcPr>
            <w:tcW w:w="820" w:type="dxa"/>
            <w:tcBorders>
              <w:top w:val="nil"/>
              <w:left w:val="nil"/>
              <w:bottom w:val="nil"/>
              <w:right w:val="nil"/>
            </w:tcBorders>
            <w:shd w:val="clear" w:color="auto" w:fill="FFFFFF" w:themeFill="background1"/>
            <w:noWrap/>
            <w:vAlign w:val="bottom"/>
            <w:hideMark/>
          </w:tcPr>
          <w:p w14:paraId="41F0E222" w14:textId="77777777" w:rsidR="00483974" w:rsidRPr="009C5931" w:rsidRDefault="00483974" w:rsidP="0076627F">
            <w:pPr>
              <w:spacing w:line="240" w:lineRule="auto"/>
              <w:jc w:val="center"/>
              <w:rPr>
                <w:rFonts w:eastAsia="Times New Roman" w:cs="Times New Roman"/>
              </w:rPr>
            </w:pPr>
            <w:r w:rsidRPr="009C5931">
              <w:rPr>
                <w:rFonts w:cs="Times New Roman"/>
              </w:rPr>
              <w:t>0.635</w:t>
            </w:r>
          </w:p>
        </w:tc>
        <w:tc>
          <w:tcPr>
            <w:tcW w:w="1168" w:type="dxa"/>
            <w:tcBorders>
              <w:top w:val="nil"/>
              <w:left w:val="nil"/>
              <w:bottom w:val="nil"/>
              <w:right w:val="nil"/>
            </w:tcBorders>
            <w:shd w:val="clear" w:color="auto" w:fill="FFFFFF" w:themeFill="background1"/>
            <w:noWrap/>
            <w:vAlign w:val="bottom"/>
            <w:hideMark/>
          </w:tcPr>
          <w:p w14:paraId="51201C13"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76627F" w:rsidRPr="00AC4F3C" w14:paraId="7FD53FDC" w14:textId="77777777" w:rsidTr="0076627F">
        <w:trPr>
          <w:trHeight w:val="300"/>
        </w:trPr>
        <w:tc>
          <w:tcPr>
            <w:tcW w:w="4041" w:type="dxa"/>
            <w:tcBorders>
              <w:top w:val="nil"/>
              <w:left w:val="nil"/>
              <w:bottom w:val="single" w:sz="4" w:space="0" w:color="auto"/>
              <w:right w:val="nil"/>
            </w:tcBorders>
            <w:shd w:val="clear" w:color="auto" w:fill="FFFFFF" w:themeFill="background1"/>
            <w:noWrap/>
            <w:vAlign w:val="bottom"/>
            <w:hideMark/>
          </w:tcPr>
          <w:p w14:paraId="10DCFD2C" w14:textId="77777777" w:rsidR="00483974" w:rsidRPr="009C5931" w:rsidRDefault="00483974" w:rsidP="0076627F">
            <w:pPr>
              <w:spacing w:line="240" w:lineRule="auto"/>
              <w:rPr>
                <w:rFonts w:eastAsia="Times New Roman" w:cs="Times New Roman"/>
              </w:rPr>
            </w:pPr>
            <w:r w:rsidRPr="009C5931">
              <w:rPr>
                <w:rFonts w:eastAsia="Times New Roman" w:cs="Times New Roman"/>
              </w:rPr>
              <w:t>Social Integration</w:t>
            </w:r>
          </w:p>
        </w:tc>
        <w:tc>
          <w:tcPr>
            <w:tcW w:w="909" w:type="dxa"/>
            <w:tcBorders>
              <w:top w:val="nil"/>
              <w:left w:val="nil"/>
              <w:bottom w:val="single" w:sz="4" w:space="0" w:color="auto"/>
              <w:right w:val="nil"/>
            </w:tcBorders>
            <w:shd w:val="clear" w:color="auto" w:fill="FFFFFF" w:themeFill="background1"/>
            <w:noWrap/>
            <w:vAlign w:val="bottom"/>
            <w:hideMark/>
          </w:tcPr>
          <w:p w14:paraId="08E92B8C" w14:textId="77777777" w:rsidR="00483974" w:rsidRPr="009C5931" w:rsidRDefault="00483974" w:rsidP="0076627F">
            <w:pPr>
              <w:spacing w:line="240" w:lineRule="auto"/>
              <w:jc w:val="center"/>
              <w:rPr>
                <w:rFonts w:eastAsia="Times New Roman" w:cs="Times New Roman"/>
              </w:rPr>
            </w:pPr>
            <w:r w:rsidRPr="009C5931">
              <w:rPr>
                <w:rFonts w:cs="Times New Roman"/>
              </w:rPr>
              <w:t>1.669</w:t>
            </w:r>
          </w:p>
        </w:tc>
        <w:tc>
          <w:tcPr>
            <w:tcW w:w="620" w:type="dxa"/>
            <w:tcBorders>
              <w:top w:val="nil"/>
              <w:left w:val="nil"/>
              <w:bottom w:val="single" w:sz="4" w:space="0" w:color="auto"/>
              <w:right w:val="nil"/>
            </w:tcBorders>
            <w:shd w:val="clear" w:color="auto" w:fill="FFFFFF" w:themeFill="background1"/>
            <w:noWrap/>
            <w:vAlign w:val="bottom"/>
            <w:hideMark/>
          </w:tcPr>
          <w:p w14:paraId="743853ED" w14:textId="77777777" w:rsidR="00483974" w:rsidRPr="009C5931" w:rsidRDefault="00483974" w:rsidP="0076627F">
            <w:pPr>
              <w:spacing w:line="240" w:lineRule="auto"/>
              <w:jc w:val="center"/>
              <w:rPr>
                <w:rFonts w:eastAsia="Times New Roman" w:cs="Times New Roman"/>
              </w:rPr>
            </w:pPr>
            <w:r w:rsidRPr="009C5931">
              <w:rPr>
                <w:rFonts w:cs="Times New Roman"/>
              </w:rPr>
              <w:t>*</w:t>
            </w:r>
          </w:p>
        </w:tc>
        <w:tc>
          <w:tcPr>
            <w:tcW w:w="820" w:type="dxa"/>
            <w:tcBorders>
              <w:top w:val="nil"/>
              <w:left w:val="nil"/>
              <w:bottom w:val="single" w:sz="4" w:space="0" w:color="auto"/>
              <w:right w:val="nil"/>
            </w:tcBorders>
            <w:shd w:val="clear" w:color="auto" w:fill="FFFFFF" w:themeFill="background1"/>
            <w:noWrap/>
            <w:vAlign w:val="bottom"/>
            <w:hideMark/>
          </w:tcPr>
          <w:p w14:paraId="2FF8A289" w14:textId="77777777" w:rsidR="00483974" w:rsidRPr="009C5931" w:rsidRDefault="00483974" w:rsidP="0076627F">
            <w:pPr>
              <w:spacing w:line="240" w:lineRule="auto"/>
              <w:jc w:val="center"/>
              <w:rPr>
                <w:rFonts w:eastAsia="Times New Roman" w:cs="Times New Roman"/>
              </w:rPr>
            </w:pPr>
            <w:r w:rsidRPr="009C5931">
              <w:rPr>
                <w:rFonts w:cs="Times New Roman"/>
              </w:rPr>
              <w:t>0.734</w:t>
            </w:r>
          </w:p>
        </w:tc>
        <w:tc>
          <w:tcPr>
            <w:tcW w:w="1168" w:type="dxa"/>
            <w:tcBorders>
              <w:top w:val="nil"/>
              <w:left w:val="nil"/>
              <w:bottom w:val="nil"/>
              <w:right w:val="nil"/>
            </w:tcBorders>
            <w:shd w:val="clear" w:color="auto" w:fill="FFFFFF" w:themeFill="background1"/>
            <w:noWrap/>
            <w:vAlign w:val="bottom"/>
            <w:hideMark/>
          </w:tcPr>
          <w:p w14:paraId="708029EC" w14:textId="77777777" w:rsidR="00483974" w:rsidRPr="00AC4F3C" w:rsidRDefault="00483974" w:rsidP="0076627F">
            <w:pPr>
              <w:spacing w:line="240" w:lineRule="auto"/>
              <w:rPr>
                <w:rFonts w:eastAsia="Times New Roman" w:cs="Times New Roman"/>
                <w:sz w:val="20"/>
                <w:szCs w:val="20"/>
              </w:rPr>
            </w:pPr>
            <w:r w:rsidRPr="00AC4F3C">
              <w:rPr>
                <w:rFonts w:eastAsia="Times New Roman" w:cs="Times New Roman"/>
                <w:sz w:val="20"/>
                <w:szCs w:val="20"/>
              </w:rPr>
              <w:t> </w:t>
            </w:r>
          </w:p>
        </w:tc>
      </w:tr>
      <w:tr w:rsidR="00483974" w:rsidRPr="00AC4F3C" w14:paraId="1E80159D" w14:textId="77777777" w:rsidTr="0076627F">
        <w:trPr>
          <w:trHeight w:val="300"/>
        </w:trPr>
        <w:tc>
          <w:tcPr>
            <w:tcW w:w="7558" w:type="dxa"/>
            <w:gridSpan w:val="5"/>
            <w:tcBorders>
              <w:top w:val="nil"/>
              <w:left w:val="nil"/>
              <w:bottom w:val="nil"/>
              <w:right w:val="nil"/>
            </w:tcBorders>
            <w:shd w:val="clear" w:color="auto" w:fill="FFFFFF" w:themeFill="background1"/>
            <w:noWrap/>
            <w:vAlign w:val="bottom"/>
            <w:hideMark/>
          </w:tcPr>
          <w:p w14:paraId="32FFE850" w14:textId="77777777" w:rsidR="00483974" w:rsidRPr="00AC4F3C" w:rsidRDefault="00483974" w:rsidP="0076627F">
            <w:pPr>
              <w:spacing w:line="240" w:lineRule="auto"/>
              <w:rPr>
                <w:rFonts w:eastAsia="Times New Roman" w:cs="Times New Roman"/>
                <w:sz w:val="18"/>
                <w:szCs w:val="18"/>
              </w:rPr>
            </w:pPr>
            <w:r w:rsidRPr="00AC4F3C">
              <w:rPr>
                <w:rFonts w:eastAsia="Times New Roman" w:cs="Times New Roman"/>
                <w:sz w:val="18"/>
                <w:szCs w:val="18"/>
              </w:rPr>
              <w:t>† p &lt; .10, * p &lt; .05, *** p &lt; .001</w:t>
            </w:r>
          </w:p>
        </w:tc>
      </w:tr>
      <w:tr w:rsidR="00483974" w:rsidRPr="00AC4F3C" w14:paraId="4723CC76" w14:textId="77777777" w:rsidTr="0076627F">
        <w:trPr>
          <w:trHeight w:val="300"/>
        </w:trPr>
        <w:tc>
          <w:tcPr>
            <w:tcW w:w="5570" w:type="dxa"/>
            <w:gridSpan w:val="3"/>
            <w:tcBorders>
              <w:top w:val="nil"/>
              <w:left w:val="nil"/>
              <w:bottom w:val="nil"/>
              <w:right w:val="nil"/>
            </w:tcBorders>
            <w:shd w:val="clear" w:color="auto" w:fill="auto"/>
            <w:noWrap/>
            <w:vAlign w:val="bottom"/>
            <w:hideMark/>
          </w:tcPr>
          <w:p w14:paraId="32C9E5A1" w14:textId="77777777" w:rsidR="00483974" w:rsidRPr="00AC4F3C" w:rsidRDefault="00483974" w:rsidP="0076627F">
            <w:pPr>
              <w:spacing w:line="240" w:lineRule="auto"/>
              <w:rPr>
                <w:rFonts w:eastAsia="Times New Roman" w:cs="Times New Roman"/>
                <w:sz w:val="18"/>
                <w:szCs w:val="18"/>
              </w:rPr>
            </w:pPr>
            <w:r w:rsidRPr="00AC4F3C">
              <w:rPr>
                <w:rFonts w:eastAsia="Times New Roman" w:cs="Times New Roman"/>
                <w:sz w:val="18"/>
                <w:szCs w:val="18"/>
              </w:rPr>
              <w:t>1. Table presents multiply imputed (m = 20) data, N = 132</w:t>
            </w:r>
          </w:p>
          <w:p w14:paraId="067B10CE" w14:textId="77777777" w:rsidR="00483974" w:rsidRPr="00AC4F3C" w:rsidRDefault="00483974" w:rsidP="0076627F">
            <w:pPr>
              <w:spacing w:line="240" w:lineRule="auto"/>
              <w:rPr>
                <w:rFonts w:eastAsia="Times New Roman" w:cs="Times New Roman"/>
                <w:sz w:val="18"/>
                <w:szCs w:val="20"/>
              </w:rPr>
            </w:pPr>
            <w:r w:rsidRPr="00AC4F3C">
              <w:rPr>
                <w:rFonts w:eastAsia="Times New Roman" w:cs="Times New Roman"/>
                <w:sz w:val="18"/>
                <w:szCs w:val="20"/>
              </w:rPr>
              <w:t>  </w:t>
            </w:r>
          </w:p>
        </w:tc>
        <w:tc>
          <w:tcPr>
            <w:tcW w:w="820" w:type="dxa"/>
            <w:tcBorders>
              <w:top w:val="nil"/>
              <w:left w:val="nil"/>
              <w:bottom w:val="nil"/>
              <w:right w:val="nil"/>
            </w:tcBorders>
            <w:shd w:val="clear" w:color="auto" w:fill="FFFFFF" w:themeFill="background1"/>
            <w:noWrap/>
            <w:vAlign w:val="bottom"/>
            <w:hideMark/>
          </w:tcPr>
          <w:p w14:paraId="3A4074F8" w14:textId="77777777" w:rsidR="00483974" w:rsidRPr="00AC4F3C" w:rsidRDefault="00483974" w:rsidP="0076627F">
            <w:pPr>
              <w:spacing w:line="240" w:lineRule="auto"/>
              <w:rPr>
                <w:rFonts w:eastAsia="Times New Roman" w:cs="Times New Roman"/>
                <w:sz w:val="18"/>
                <w:szCs w:val="20"/>
              </w:rPr>
            </w:pPr>
          </w:p>
        </w:tc>
        <w:tc>
          <w:tcPr>
            <w:tcW w:w="1168" w:type="dxa"/>
            <w:tcBorders>
              <w:top w:val="nil"/>
              <w:left w:val="nil"/>
              <w:bottom w:val="nil"/>
              <w:right w:val="nil"/>
            </w:tcBorders>
            <w:shd w:val="clear" w:color="auto" w:fill="FFFFFF" w:themeFill="background1"/>
            <w:noWrap/>
            <w:vAlign w:val="bottom"/>
            <w:hideMark/>
          </w:tcPr>
          <w:p w14:paraId="55D42888" w14:textId="77777777" w:rsidR="00483974" w:rsidRPr="00AC4F3C" w:rsidRDefault="00483974" w:rsidP="0076627F">
            <w:pPr>
              <w:spacing w:line="240" w:lineRule="auto"/>
              <w:rPr>
                <w:rFonts w:eastAsia="Times New Roman" w:cs="Times New Roman"/>
                <w:sz w:val="18"/>
                <w:szCs w:val="20"/>
              </w:rPr>
            </w:pPr>
            <w:r w:rsidRPr="00AC4F3C">
              <w:rPr>
                <w:rFonts w:eastAsia="Times New Roman" w:cs="Times New Roman"/>
                <w:sz w:val="18"/>
                <w:szCs w:val="20"/>
              </w:rPr>
              <w:t> </w:t>
            </w:r>
          </w:p>
        </w:tc>
      </w:tr>
    </w:tbl>
    <w:p w14:paraId="64A6950B" w14:textId="77777777" w:rsidR="000F5968" w:rsidRDefault="000F5968" w:rsidP="00322A5F">
      <w:pPr>
        <w:rPr>
          <w:rFonts w:eastAsia="Calibri" w:cs="Times New Roman"/>
          <w:color w:val="000000" w:themeColor="text1"/>
          <w:szCs w:val="24"/>
        </w:rPr>
      </w:pPr>
    </w:p>
    <w:p w14:paraId="5564DB3E" w14:textId="77777777" w:rsidR="005E70FF" w:rsidRDefault="000F5968" w:rsidP="009D46F5">
      <w:pPr>
        <w:tabs>
          <w:tab w:val="center" w:pos="803"/>
        </w:tabs>
        <w:rPr>
          <w:rFonts w:eastAsia="Calibri" w:cs="Times New Roman"/>
          <w:color w:val="000000" w:themeColor="text1"/>
          <w:szCs w:val="24"/>
        </w:rPr>
      </w:pPr>
      <w:r>
        <w:rPr>
          <w:rFonts w:eastAsia="Calibri" w:cs="Times New Roman"/>
          <w:color w:val="000000" w:themeColor="text1"/>
          <w:szCs w:val="24"/>
        </w:rPr>
        <w:tab/>
      </w:r>
      <w:r>
        <w:rPr>
          <w:rFonts w:eastAsia="Calibri" w:cs="Times New Roman"/>
          <w:color w:val="000000" w:themeColor="text1"/>
          <w:szCs w:val="24"/>
        </w:rPr>
        <w:br w:type="textWrapping" w:clear="all"/>
      </w:r>
    </w:p>
    <w:p w14:paraId="6C2CD4F8" w14:textId="10C30BA6" w:rsidR="00322A5F" w:rsidRDefault="00D35E8E" w:rsidP="009D46F5">
      <w:pPr>
        <w:tabs>
          <w:tab w:val="center" w:pos="803"/>
        </w:tabs>
        <w:rPr>
          <w:rFonts w:eastAsia="Calibri" w:cs="Times New Roman"/>
          <w:color w:val="000000" w:themeColor="text1"/>
          <w:szCs w:val="24"/>
        </w:rPr>
      </w:pPr>
      <w:r w:rsidRPr="00AC4F3C">
        <w:rPr>
          <w:rFonts w:eastAsia="Calibri" w:cs="Times New Roman"/>
          <w:color w:val="000000" w:themeColor="text1"/>
          <w:szCs w:val="24"/>
        </w:rPr>
        <w:t xml:space="preserve">Table </w:t>
      </w:r>
      <w:r w:rsidR="00303F56">
        <w:rPr>
          <w:rFonts w:eastAsia="Calibri" w:cs="Times New Roman"/>
          <w:color w:val="000000" w:themeColor="text1"/>
          <w:szCs w:val="24"/>
        </w:rPr>
        <w:t>3</w:t>
      </w:r>
      <w:r w:rsidRPr="00AC4F3C">
        <w:rPr>
          <w:rFonts w:eastAsia="Calibri" w:cs="Times New Roman"/>
          <w:color w:val="000000" w:themeColor="text1"/>
          <w:szCs w:val="24"/>
        </w:rPr>
        <w:t xml:space="preserve"> presents results from a multivariate logistic regression predicting pseudo-motherhood. On average, pseudo-mothers </w:t>
      </w:r>
      <w:r w:rsidR="00A36CDB">
        <w:rPr>
          <w:rFonts w:eastAsia="Calibri" w:cs="Times New Roman"/>
          <w:color w:val="000000" w:themeColor="text1"/>
          <w:szCs w:val="24"/>
        </w:rPr>
        <w:t>were</w:t>
      </w:r>
      <w:r w:rsidRPr="00AC4F3C">
        <w:rPr>
          <w:rFonts w:eastAsia="Calibri" w:cs="Times New Roman"/>
          <w:color w:val="000000" w:themeColor="text1"/>
          <w:szCs w:val="24"/>
        </w:rPr>
        <w:t xml:space="preserve"> significantly older (</w:t>
      </w:r>
      <w:r w:rsidRPr="00AC4F3C">
        <w:rPr>
          <w:rFonts w:eastAsia="Calibri" w:cs="Times New Roman"/>
          <w:i/>
          <w:iCs/>
          <w:color w:val="000000" w:themeColor="text1"/>
          <w:szCs w:val="24"/>
        </w:rPr>
        <w:t xml:space="preserve">p </w:t>
      </w:r>
      <w:r w:rsidRPr="00AC4F3C">
        <w:rPr>
          <w:rFonts w:eastAsia="Calibri" w:cs="Times New Roman"/>
          <w:color w:val="000000" w:themeColor="text1"/>
          <w:szCs w:val="24"/>
        </w:rPr>
        <w:t xml:space="preserve">&lt; .001) than women in the sample with biological children but not identified as pseudo-mothers. The magnitude of the age coefficient </w:t>
      </w:r>
      <w:r w:rsidR="00A36CDB">
        <w:rPr>
          <w:rFonts w:eastAsia="Calibri" w:cs="Times New Roman"/>
          <w:color w:val="000000" w:themeColor="text1"/>
          <w:szCs w:val="24"/>
        </w:rPr>
        <w:t>was</w:t>
      </w:r>
      <w:r w:rsidRPr="00AC4F3C">
        <w:rPr>
          <w:rFonts w:eastAsia="Calibri" w:cs="Times New Roman"/>
          <w:color w:val="000000" w:themeColor="text1"/>
          <w:szCs w:val="24"/>
        </w:rPr>
        <w:t xml:space="preserve"> quite large, with each additional year of age increasing the odds of pseudo-motherhood by 14% (</w:t>
      </w:r>
      <w:proofErr w:type="gramStart"/>
      <w:r w:rsidRPr="00AC4F3C">
        <w:rPr>
          <w:rFonts w:eastAsia="Calibri" w:cs="Times New Roman"/>
          <w:color w:val="000000" w:themeColor="text1"/>
          <w:szCs w:val="24"/>
        </w:rPr>
        <w:t>exp(</w:t>
      </w:r>
      <w:proofErr w:type="gramEnd"/>
      <w:r w:rsidRPr="00AC4F3C">
        <w:rPr>
          <w:rFonts w:eastAsia="Calibri" w:cs="Times New Roman"/>
          <w:color w:val="000000" w:themeColor="text1"/>
          <w:szCs w:val="24"/>
        </w:rPr>
        <w:t>.13))</w:t>
      </w:r>
      <w:r w:rsidR="0038782D">
        <w:rPr>
          <w:rFonts w:eastAsia="Calibri" w:cs="Times New Roman"/>
          <w:color w:val="000000" w:themeColor="text1"/>
          <w:szCs w:val="24"/>
        </w:rPr>
        <w:t xml:space="preserve">. </w:t>
      </w:r>
      <w:r w:rsidR="0038782D" w:rsidRPr="00AC4F3C">
        <w:rPr>
          <w:rFonts w:eastAsia="Calibri" w:cs="Times New Roman"/>
          <w:color w:val="000000" w:themeColor="text1"/>
          <w:szCs w:val="24"/>
        </w:rPr>
        <w:t xml:space="preserve">Social integration </w:t>
      </w:r>
      <w:r w:rsidR="00A36CDB">
        <w:rPr>
          <w:rFonts w:eastAsia="Calibri" w:cs="Times New Roman"/>
          <w:color w:val="000000" w:themeColor="text1"/>
          <w:szCs w:val="24"/>
        </w:rPr>
        <w:t>was</w:t>
      </w:r>
      <w:r w:rsidR="0038782D" w:rsidRPr="00AC4F3C">
        <w:rPr>
          <w:rFonts w:eastAsia="Calibri" w:cs="Times New Roman"/>
          <w:color w:val="000000" w:themeColor="text1"/>
          <w:szCs w:val="24"/>
        </w:rPr>
        <w:t xml:space="preserve"> also a significant (</w:t>
      </w:r>
      <w:r w:rsidR="0038782D" w:rsidRPr="00AC4F3C">
        <w:rPr>
          <w:rFonts w:eastAsia="Calibri" w:cs="Times New Roman"/>
          <w:i/>
          <w:iCs/>
          <w:color w:val="000000" w:themeColor="text1"/>
          <w:szCs w:val="24"/>
        </w:rPr>
        <w:t xml:space="preserve">p </w:t>
      </w:r>
      <w:r w:rsidR="0038782D" w:rsidRPr="00AC4F3C">
        <w:rPr>
          <w:rFonts w:eastAsia="Calibri" w:cs="Times New Roman"/>
          <w:color w:val="000000" w:themeColor="text1"/>
          <w:szCs w:val="24"/>
        </w:rPr>
        <w:t>&lt; .05) correlate of pseudo-motherhood. The more integrated a respondent felt in her unit, the greater her chances of being identified as a pseudo-mother. In fact, each additional point on the social integration score led to a five-fold increase in the odds of pseudo-motherhood (</w:t>
      </w:r>
      <w:proofErr w:type="gramStart"/>
      <w:r w:rsidR="0038782D" w:rsidRPr="00AC4F3C">
        <w:rPr>
          <w:rFonts w:eastAsia="Calibri" w:cs="Times New Roman"/>
          <w:color w:val="000000" w:themeColor="text1"/>
          <w:szCs w:val="24"/>
        </w:rPr>
        <w:t>exp(</w:t>
      </w:r>
      <w:proofErr w:type="gramEnd"/>
      <w:r w:rsidR="0038782D" w:rsidRPr="00AC4F3C">
        <w:rPr>
          <w:rFonts w:eastAsia="Calibri" w:cs="Times New Roman"/>
          <w:color w:val="000000" w:themeColor="text1"/>
          <w:szCs w:val="24"/>
        </w:rPr>
        <w:t>1.67)).</w:t>
      </w:r>
    </w:p>
    <w:p w14:paraId="3806343F" w14:textId="25A2ABA9" w:rsidR="00D35E8E" w:rsidRDefault="001650FA" w:rsidP="001650FA">
      <w:pPr>
        <w:ind w:firstLine="720"/>
        <w:rPr>
          <w:rFonts w:cs="Times New Roman"/>
          <w:szCs w:val="24"/>
        </w:rPr>
      </w:pPr>
      <w:r w:rsidRPr="001650FA">
        <w:rPr>
          <w:rFonts w:cs="Times New Roman"/>
          <w:szCs w:val="24"/>
        </w:rPr>
        <w:t xml:space="preserve">Table </w:t>
      </w:r>
      <w:r w:rsidR="00303F56">
        <w:rPr>
          <w:rFonts w:cs="Times New Roman"/>
          <w:szCs w:val="24"/>
        </w:rPr>
        <w:t>4</w:t>
      </w:r>
      <w:r w:rsidRPr="001650FA">
        <w:rPr>
          <w:rFonts w:cs="Times New Roman"/>
          <w:szCs w:val="24"/>
        </w:rPr>
        <w:t xml:space="preserve"> displays results from bivariate and multivariate OLS regression models predicting respondents’ perceived relationship quality with their youngest biological child. In the bivariate model, pseudo-motherhood ha</w:t>
      </w:r>
      <w:r w:rsidR="00A36CDB">
        <w:rPr>
          <w:rFonts w:cs="Times New Roman"/>
          <w:szCs w:val="24"/>
        </w:rPr>
        <w:t>d</w:t>
      </w:r>
      <w:r w:rsidRPr="001650FA">
        <w:rPr>
          <w:rFonts w:cs="Times New Roman"/>
          <w:szCs w:val="24"/>
        </w:rPr>
        <w:t xml:space="preserve"> a positive and nonsignificant (p &gt; .10) correlation with perceived relationship quality. In the multivariate model, this association reverse</w:t>
      </w:r>
      <w:r w:rsidR="00A36CDB">
        <w:rPr>
          <w:rFonts w:cs="Times New Roman"/>
          <w:szCs w:val="24"/>
        </w:rPr>
        <w:t>d</w:t>
      </w:r>
      <w:r w:rsidRPr="001650FA">
        <w:rPr>
          <w:rFonts w:cs="Times New Roman"/>
          <w:szCs w:val="24"/>
        </w:rPr>
        <w:t xml:space="preserve"> signs but remain</w:t>
      </w:r>
      <w:r w:rsidR="00A36CDB">
        <w:rPr>
          <w:rFonts w:cs="Times New Roman"/>
          <w:szCs w:val="24"/>
        </w:rPr>
        <w:t>ed</w:t>
      </w:r>
      <w:r w:rsidRPr="001650FA">
        <w:rPr>
          <w:rFonts w:cs="Times New Roman"/>
          <w:szCs w:val="24"/>
        </w:rPr>
        <w:t xml:space="preserve"> statistically indistinguishable from zero.</w:t>
      </w:r>
    </w:p>
    <w:tbl>
      <w:tblPr>
        <w:tblpPr w:leftFromText="180" w:rightFromText="180" w:vertAnchor="text" w:horzAnchor="margin" w:tblpY="-229"/>
        <w:tblW w:w="9081" w:type="dxa"/>
        <w:tblLook w:val="04A0" w:firstRow="1" w:lastRow="0" w:firstColumn="1" w:lastColumn="0" w:noHBand="0" w:noVBand="1"/>
      </w:tblPr>
      <w:tblGrid>
        <w:gridCol w:w="4408"/>
        <w:gridCol w:w="1082"/>
        <w:gridCol w:w="1161"/>
        <w:gridCol w:w="272"/>
        <w:gridCol w:w="817"/>
        <w:gridCol w:w="630"/>
        <w:gridCol w:w="711"/>
      </w:tblGrid>
      <w:tr w:rsidR="00322A5F" w:rsidRPr="00322A5F" w14:paraId="58E9E22D" w14:textId="77777777" w:rsidTr="00322A5F">
        <w:trPr>
          <w:trHeight w:val="300"/>
        </w:trPr>
        <w:tc>
          <w:tcPr>
            <w:tcW w:w="9081" w:type="dxa"/>
            <w:gridSpan w:val="7"/>
            <w:tcBorders>
              <w:top w:val="nil"/>
              <w:left w:val="nil"/>
              <w:bottom w:val="single" w:sz="4" w:space="0" w:color="auto"/>
              <w:right w:val="nil"/>
            </w:tcBorders>
            <w:shd w:val="clear" w:color="auto" w:fill="FFFFFF"/>
            <w:noWrap/>
            <w:vAlign w:val="bottom"/>
            <w:hideMark/>
          </w:tcPr>
          <w:p w14:paraId="6376F4C8" w14:textId="77777777" w:rsidR="00721FF6" w:rsidRDefault="00721FF6" w:rsidP="00322A5F">
            <w:pPr>
              <w:spacing w:line="240" w:lineRule="auto"/>
              <w:rPr>
                <w:rFonts w:eastAsia="Times New Roman" w:cs="Times New Roman"/>
                <w:b/>
                <w:bCs/>
                <w:szCs w:val="24"/>
              </w:rPr>
            </w:pPr>
          </w:p>
          <w:p w14:paraId="54FBBF61" w14:textId="6CA02964" w:rsidR="00322A5F" w:rsidRPr="003B67E5" w:rsidRDefault="00322A5F" w:rsidP="00322A5F">
            <w:pPr>
              <w:spacing w:line="240" w:lineRule="auto"/>
              <w:rPr>
                <w:rFonts w:eastAsia="Times New Roman" w:cs="Times New Roman"/>
                <w:b/>
                <w:bCs/>
                <w:szCs w:val="24"/>
                <w:vertAlign w:val="superscript"/>
              </w:rPr>
            </w:pPr>
            <w:r w:rsidRPr="009974E0">
              <w:rPr>
                <w:rFonts w:eastAsia="Times New Roman" w:cs="Times New Roman"/>
                <w:b/>
                <w:bCs/>
                <w:szCs w:val="24"/>
              </w:rPr>
              <w:t xml:space="preserve">Table </w:t>
            </w:r>
            <w:r w:rsidR="00303F56">
              <w:rPr>
                <w:rFonts w:eastAsia="Times New Roman" w:cs="Times New Roman"/>
                <w:b/>
                <w:bCs/>
                <w:szCs w:val="24"/>
              </w:rPr>
              <w:t>4</w:t>
            </w:r>
            <w:r w:rsidRPr="009974E0">
              <w:rPr>
                <w:rFonts w:eastAsia="Times New Roman" w:cs="Times New Roman"/>
                <w:b/>
                <w:bCs/>
                <w:szCs w:val="24"/>
              </w:rPr>
              <w:t>. OLS Regressions of Relationship Quality with Youngest Biological Child</w:t>
            </w:r>
            <w:r w:rsidR="003B67E5">
              <w:rPr>
                <w:rFonts w:eastAsia="Times New Roman" w:cs="Times New Roman"/>
                <w:b/>
                <w:bCs/>
                <w:szCs w:val="24"/>
                <w:vertAlign w:val="superscript"/>
              </w:rPr>
              <w:t>a</w:t>
            </w:r>
          </w:p>
        </w:tc>
      </w:tr>
      <w:tr w:rsidR="00322A5F" w:rsidRPr="00322A5F" w14:paraId="1EA5E74F" w14:textId="77777777" w:rsidTr="00322A5F">
        <w:trPr>
          <w:trHeight w:val="300"/>
        </w:trPr>
        <w:tc>
          <w:tcPr>
            <w:tcW w:w="4408" w:type="dxa"/>
            <w:tcBorders>
              <w:top w:val="single" w:sz="4" w:space="0" w:color="auto"/>
              <w:left w:val="nil"/>
              <w:bottom w:val="nil"/>
              <w:right w:val="nil"/>
            </w:tcBorders>
            <w:shd w:val="clear" w:color="auto" w:fill="FFFFFF"/>
            <w:noWrap/>
            <w:vAlign w:val="bottom"/>
            <w:hideMark/>
          </w:tcPr>
          <w:p w14:paraId="1F96AE71"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 </w:t>
            </w:r>
          </w:p>
        </w:tc>
        <w:tc>
          <w:tcPr>
            <w:tcW w:w="2243" w:type="dxa"/>
            <w:gridSpan w:val="2"/>
            <w:tcBorders>
              <w:top w:val="single" w:sz="4" w:space="0" w:color="auto"/>
              <w:left w:val="nil"/>
              <w:bottom w:val="nil"/>
              <w:right w:val="nil"/>
            </w:tcBorders>
            <w:shd w:val="clear" w:color="auto" w:fill="FFFFFF"/>
            <w:noWrap/>
            <w:vAlign w:val="bottom"/>
            <w:hideMark/>
          </w:tcPr>
          <w:p w14:paraId="72AEF393" w14:textId="77777777" w:rsidR="00322A5F" w:rsidRPr="00322A5F" w:rsidRDefault="00322A5F" w:rsidP="00322A5F">
            <w:pPr>
              <w:spacing w:line="240" w:lineRule="auto"/>
              <w:jc w:val="center"/>
              <w:rPr>
                <w:rFonts w:eastAsia="Times New Roman" w:cs="Times New Roman"/>
                <w:sz w:val="22"/>
                <w:u w:val="single"/>
              </w:rPr>
            </w:pPr>
            <w:r w:rsidRPr="00322A5F">
              <w:rPr>
                <w:rFonts w:eastAsia="Times New Roman" w:cs="Times New Roman"/>
                <w:sz w:val="22"/>
                <w:u w:val="single"/>
              </w:rPr>
              <w:t>Model 1</w:t>
            </w:r>
          </w:p>
        </w:tc>
        <w:tc>
          <w:tcPr>
            <w:tcW w:w="272" w:type="dxa"/>
            <w:tcBorders>
              <w:top w:val="single" w:sz="4" w:space="0" w:color="auto"/>
              <w:left w:val="nil"/>
              <w:bottom w:val="nil"/>
              <w:right w:val="nil"/>
            </w:tcBorders>
            <w:shd w:val="clear" w:color="auto" w:fill="FFFFFF"/>
            <w:noWrap/>
            <w:vAlign w:val="bottom"/>
            <w:hideMark/>
          </w:tcPr>
          <w:p w14:paraId="3CC33607"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 </w:t>
            </w:r>
          </w:p>
        </w:tc>
        <w:tc>
          <w:tcPr>
            <w:tcW w:w="2158" w:type="dxa"/>
            <w:gridSpan w:val="3"/>
            <w:tcBorders>
              <w:top w:val="single" w:sz="4" w:space="0" w:color="auto"/>
              <w:left w:val="nil"/>
              <w:bottom w:val="nil"/>
              <w:right w:val="nil"/>
            </w:tcBorders>
            <w:shd w:val="clear" w:color="auto" w:fill="FFFFFF"/>
            <w:noWrap/>
            <w:vAlign w:val="bottom"/>
            <w:hideMark/>
          </w:tcPr>
          <w:p w14:paraId="27FC8C7A" w14:textId="77777777" w:rsidR="00322A5F" w:rsidRPr="00322A5F" w:rsidRDefault="00322A5F" w:rsidP="00322A5F">
            <w:pPr>
              <w:spacing w:line="240" w:lineRule="auto"/>
              <w:jc w:val="center"/>
              <w:rPr>
                <w:rFonts w:eastAsia="Times New Roman" w:cs="Times New Roman"/>
                <w:sz w:val="22"/>
              </w:rPr>
            </w:pPr>
            <w:r w:rsidRPr="00322A5F">
              <w:rPr>
                <w:rFonts w:eastAsia="Times New Roman" w:cs="Times New Roman"/>
                <w:sz w:val="22"/>
                <w:u w:val="single"/>
              </w:rPr>
              <w:t>Model 2</w:t>
            </w:r>
          </w:p>
        </w:tc>
      </w:tr>
      <w:tr w:rsidR="00322A5F" w:rsidRPr="00322A5F" w14:paraId="1616433E" w14:textId="77777777" w:rsidTr="00322A5F">
        <w:trPr>
          <w:trHeight w:val="255"/>
        </w:trPr>
        <w:tc>
          <w:tcPr>
            <w:tcW w:w="4408" w:type="dxa"/>
            <w:tcBorders>
              <w:top w:val="nil"/>
              <w:left w:val="nil"/>
              <w:bottom w:val="single" w:sz="4" w:space="0" w:color="auto"/>
              <w:right w:val="nil"/>
            </w:tcBorders>
            <w:shd w:val="clear" w:color="auto" w:fill="FFFFFF"/>
            <w:noWrap/>
            <w:vAlign w:val="bottom"/>
            <w:hideMark/>
          </w:tcPr>
          <w:p w14:paraId="5DA78402" w14:textId="77777777" w:rsidR="00322A5F" w:rsidRPr="00322A5F" w:rsidRDefault="00322A5F" w:rsidP="00322A5F">
            <w:pPr>
              <w:spacing w:line="240" w:lineRule="auto"/>
              <w:jc w:val="center"/>
              <w:rPr>
                <w:rFonts w:eastAsia="Times New Roman" w:cs="Times New Roman"/>
                <w:sz w:val="22"/>
              </w:rPr>
            </w:pPr>
            <w:r w:rsidRPr="00322A5F">
              <w:rPr>
                <w:rFonts w:eastAsia="Times New Roman" w:cs="Times New Roman"/>
                <w:sz w:val="22"/>
              </w:rPr>
              <w:t> </w:t>
            </w:r>
          </w:p>
        </w:tc>
        <w:tc>
          <w:tcPr>
            <w:tcW w:w="1082" w:type="dxa"/>
            <w:tcBorders>
              <w:top w:val="nil"/>
              <w:left w:val="nil"/>
              <w:bottom w:val="single" w:sz="4" w:space="0" w:color="auto"/>
              <w:right w:val="nil"/>
            </w:tcBorders>
            <w:shd w:val="clear" w:color="auto" w:fill="FFFFFF"/>
            <w:noWrap/>
            <w:vAlign w:val="bottom"/>
            <w:hideMark/>
          </w:tcPr>
          <w:p w14:paraId="7E803769" w14:textId="77777777" w:rsidR="00322A5F" w:rsidRPr="00322A5F" w:rsidRDefault="00322A5F" w:rsidP="00322A5F">
            <w:pPr>
              <w:spacing w:line="240" w:lineRule="auto"/>
              <w:jc w:val="center"/>
              <w:rPr>
                <w:rFonts w:eastAsia="Times New Roman" w:cs="Times New Roman"/>
                <w:i/>
                <w:iCs/>
                <w:sz w:val="22"/>
              </w:rPr>
            </w:pPr>
            <w:r w:rsidRPr="00322A5F">
              <w:rPr>
                <w:rFonts w:eastAsia="Times New Roman" w:cs="Times New Roman"/>
                <w:i/>
                <w:iCs/>
                <w:sz w:val="22"/>
              </w:rPr>
              <w:t>B</w:t>
            </w:r>
          </w:p>
        </w:tc>
        <w:tc>
          <w:tcPr>
            <w:tcW w:w="1161" w:type="dxa"/>
            <w:tcBorders>
              <w:top w:val="nil"/>
              <w:left w:val="nil"/>
              <w:bottom w:val="single" w:sz="4" w:space="0" w:color="auto"/>
              <w:right w:val="nil"/>
            </w:tcBorders>
            <w:shd w:val="clear" w:color="auto" w:fill="FFFFFF"/>
            <w:noWrap/>
            <w:vAlign w:val="bottom"/>
            <w:hideMark/>
          </w:tcPr>
          <w:p w14:paraId="17DAAC8F" w14:textId="77777777" w:rsidR="00322A5F" w:rsidRPr="00322A5F" w:rsidRDefault="00322A5F" w:rsidP="00322A5F">
            <w:pPr>
              <w:spacing w:line="240" w:lineRule="auto"/>
              <w:jc w:val="center"/>
              <w:rPr>
                <w:rFonts w:eastAsia="Times New Roman" w:cs="Times New Roman"/>
                <w:sz w:val="22"/>
              </w:rPr>
            </w:pPr>
            <w:r w:rsidRPr="00322A5F">
              <w:rPr>
                <w:rFonts w:eastAsia="Times New Roman" w:cs="Times New Roman"/>
                <w:sz w:val="22"/>
              </w:rPr>
              <w:t>SE</w:t>
            </w:r>
          </w:p>
        </w:tc>
        <w:tc>
          <w:tcPr>
            <w:tcW w:w="272" w:type="dxa"/>
            <w:tcBorders>
              <w:top w:val="nil"/>
              <w:left w:val="nil"/>
              <w:bottom w:val="single" w:sz="4" w:space="0" w:color="auto"/>
              <w:right w:val="nil"/>
            </w:tcBorders>
            <w:shd w:val="clear" w:color="auto" w:fill="FFFFFF"/>
            <w:noWrap/>
            <w:vAlign w:val="bottom"/>
            <w:hideMark/>
          </w:tcPr>
          <w:p w14:paraId="3B1AB5B4" w14:textId="77777777" w:rsidR="00322A5F" w:rsidRPr="00322A5F" w:rsidRDefault="00322A5F" w:rsidP="00322A5F">
            <w:pPr>
              <w:spacing w:line="240" w:lineRule="auto"/>
              <w:jc w:val="center"/>
              <w:rPr>
                <w:rFonts w:eastAsia="Times New Roman" w:cs="Times New Roman"/>
                <w:sz w:val="22"/>
              </w:rPr>
            </w:pPr>
            <w:r w:rsidRPr="00322A5F">
              <w:rPr>
                <w:rFonts w:eastAsia="Times New Roman" w:cs="Times New Roman"/>
                <w:sz w:val="22"/>
              </w:rPr>
              <w:t> </w:t>
            </w:r>
          </w:p>
        </w:tc>
        <w:tc>
          <w:tcPr>
            <w:tcW w:w="817" w:type="dxa"/>
            <w:tcBorders>
              <w:top w:val="nil"/>
              <w:left w:val="nil"/>
              <w:bottom w:val="single" w:sz="4" w:space="0" w:color="auto"/>
              <w:right w:val="nil"/>
            </w:tcBorders>
            <w:shd w:val="clear" w:color="auto" w:fill="FFFFFF"/>
            <w:noWrap/>
            <w:vAlign w:val="bottom"/>
            <w:hideMark/>
          </w:tcPr>
          <w:p w14:paraId="0AB9865F" w14:textId="77777777" w:rsidR="00322A5F" w:rsidRPr="00322A5F" w:rsidRDefault="00322A5F" w:rsidP="00322A5F">
            <w:pPr>
              <w:spacing w:line="240" w:lineRule="auto"/>
              <w:jc w:val="center"/>
              <w:rPr>
                <w:rFonts w:eastAsia="Times New Roman" w:cs="Times New Roman"/>
                <w:i/>
                <w:iCs/>
                <w:sz w:val="22"/>
              </w:rPr>
            </w:pPr>
            <w:r w:rsidRPr="00322A5F">
              <w:rPr>
                <w:rFonts w:eastAsia="Times New Roman" w:cs="Times New Roman"/>
                <w:i/>
                <w:iCs/>
                <w:sz w:val="22"/>
              </w:rPr>
              <w:t>B</w:t>
            </w:r>
          </w:p>
        </w:tc>
        <w:tc>
          <w:tcPr>
            <w:tcW w:w="630" w:type="dxa"/>
            <w:tcBorders>
              <w:top w:val="nil"/>
              <w:left w:val="nil"/>
              <w:bottom w:val="single" w:sz="4" w:space="0" w:color="auto"/>
              <w:right w:val="nil"/>
            </w:tcBorders>
            <w:shd w:val="clear" w:color="auto" w:fill="FFFFFF"/>
            <w:noWrap/>
            <w:vAlign w:val="bottom"/>
            <w:hideMark/>
          </w:tcPr>
          <w:p w14:paraId="0A64A509" w14:textId="77777777" w:rsidR="00322A5F" w:rsidRPr="00322A5F" w:rsidRDefault="00322A5F" w:rsidP="00322A5F">
            <w:pPr>
              <w:spacing w:line="240" w:lineRule="auto"/>
              <w:jc w:val="center"/>
              <w:rPr>
                <w:rFonts w:eastAsia="Times New Roman" w:cs="Times New Roman"/>
                <w:sz w:val="22"/>
              </w:rPr>
            </w:pPr>
            <w:r w:rsidRPr="00322A5F">
              <w:rPr>
                <w:rFonts w:eastAsia="Times New Roman" w:cs="Times New Roman"/>
                <w:sz w:val="22"/>
              </w:rPr>
              <w:t xml:space="preserve"> </w:t>
            </w:r>
          </w:p>
        </w:tc>
        <w:tc>
          <w:tcPr>
            <w:tcW w:w="711" w:type="dxa"/>
            <w:tcBorders>
              <w:top w:val="nil"/>
              <w:left w:val="nil"/>
              <w:bottom w:val="single" w:sz="4" w:space="0" w:color="auto"/>
              <w:right w:val="nil"/>
            </w:tcBorders>
            <w:shd w:val="clear" w:color="auto" w:fill="FFFFFF"/>
            <w:noWrap/>
            <w:vAlign w:val="bottom"/>
            <w:hideMark/>
          </w:tcPr>
          <w:p w14:paraId="521BF86D" w14:textId="77777777" w:rsidR="00322A5F" w:rsidRPr="00322A5F" w:rsidRDefault="00322A5F" w:rsidP="00322A5F">
            <w:pPr>
              <w:spacing w:line="240" w:lineRule="auto"/>
              <w:jc w:val="center"/>
              <w:rPr>
                <w:rFonts w:eastAsia="Times New Roman" w:cs="Times New Roman"/>
                <w:sz w:val="22"/>
              </w:rPr>
            </w:pPr>
            <w:r w:rsidRPr="00322A5F">
              <w:rPr>
                <w:rFonts w:eastAsia="Times New Roman" w:cs="Times New Roman"/>
                <w:sz w:val="22"/>
              </w:rPr>
              <w:t>SE </w:t>
            </w:r>
          </w:p>
        </w:tc>
      </w:tr>
      <w:tr w:rsidR="00322A5F" w:rsidRPr="00322A5F" w14:paraId="7EF90775" w14:textId="77777777" w:rsidTr="00322A5F">
        <w:trPr>
          <w:trHeight w:val="255"/>
        </w:trPr>
        <w:tc>
          <w:tcPr>
            <w:tcW w:w="4408" w:type="dxa"/>
            <w:tcBorders>
              <w:top w:val="nil"/>
              <w:left w:val="nil"/>
              <w:bottom w:val="nil"/>
              <w:right w:val="nil"/>
            </w:tcBorders>
            <w:shd w:val="clear" w:color="auto" w:fill="FFFFFF"/>
            <w:noWrap/>
            <w:vAlign w:val="bottom"/>
            <w:hideMark/>
          </w:tcPr>
          <w:p w14:paraId="6F1E6C99"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Pseudo-Family Mother</w:t>
            </w:r>
          </w:p>
        </w:tc>
        <w:tc>
          <w:tcPr>
            <w:tcW w:w="1082" w:type="dxa"/>
            <w:tcBorders>
              <w:top w:val="nil"/>
              <w:left w:val="nil"/>
              <w:bottom w:val="nil"/>
              <w:right w:val="nil"/>
            </w:tcBorders>
            <w:shd w:val="clear" w:color="auto" w:fill="FFFFFF"/>
            <w:noWrap/>
            <w:vAlign w:val="bottom"/>
            <w:hideMark/>
          </w:tcPr>
          <w:p w14:paraId="7D3929EE"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0.483</w:t>
            </w:r>
          </w:p>
        </w:tc>
        <w:tc>
          <w:tcPr>
            <w:tcW w:w="1161" w:type="dxa"/>
            <w:tcBorders>
              <w:top w:val="nil"/>
              <w:left w:val="nil"/>
              <w:bottom w:val="nil"/>
              <w:right w:val="nil"/>
            </w:tcBorders>
            <w:shd w:val="clear" w:color="auto" w:fill="FFFFFF"/>
            <w:noWrap/>
            <w:vAlign w:val="bottom"/>
            <w:hideMark/>
          </w:tcPr>
          <w:p w14:paraId="150A9583"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0.363</w:t>
            </w:r>
          </w:p>
        </w:tc>
        <w:tc>
          <w:tcPr>
            <w:tcW w:w="272" w:type="dxa"/>
            <w:tcBorders>
              <w:top w:val="nil"/>
              <w:left w:val="nil"/>
              <w:bottom w:val="nil"/>
              <w:right w:val="nil"/>
            </w:tcBorders>
            <w:shd w:val="clear" w:color="auto" w:fill="FFFFFF"/>
            <w:noWrap/>
            <w:vAlign w:val="bottom"/>
            <w:hideMark/>
          </w:tcPr>
          <w:p w14:paraId="5216746B"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427CFEB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-0.022</w:t>
            </w:r>
          </w:p>
        </w:tc>
        <w:tc>
          <w:tcPr>
            <w:tcW w:w="630" w:type="dxa"/>
            <w:tcBorders>
              <w:top w:val="nil"/>
              <w:left w:val="nil"/>
              <w:bottom w:val="nil"/>
              <w:right w:val="nil"/>
            </w:tcBorders>
            <w:shd w:val="clear" w:color="auto" w:fill="FFFFFF"/>
            <w:noWrap/>
            <w:vAlign w:val="bottom"/>
            <w:hideMark/>
          </w:tcPr>
          <w:p w14:paraId="5043B3A0"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504EED78"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0.409</w:t>
            </w:r>
          </w:p>
        </w:tc>
      </w:tr>
      <w:tr w:rsidR="00322A5F" w:rsidRPr="00322A5F" w14:paraId="70941093" w14:textId="77777777" w:rsidTr="00322A5F">
        <w:trPr>
          <w:trHeight w:val="255"/>
        </w:trPr>
        <w:tc>
          <w:tcPr>
            <w:tcW w:w="4408" w:type="dxa"/>
            <w:tcBorders>
              <w:top w:val="nil"/>
              <w:left w:val="nil"/>
              <w:bottom w:val="nil"/>
              <w:right w:val="nil"/>
            </w:tcBorders>
            <w:shd w:val="clear" w:color="auto" w:fill="FFFFFF"/>
            <w:noWrap/>
            <w:vAlign w:val="bottom"/>
            <w:hideMark/>
          </w:tcPr>
          <w:p w14:paraId="329FFECD"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Age</w:t>
            </w:r>
          </w:p>
        </w:tc>
        <w:tc>
          <w:tcPr>
            <w:tcW w:w="1082" w:type="dxa"/>
            <w:tcBorders>
              <w:top w:val="nil"/>
              <w:left w:val="nil"/>
              <w:bottom w:val="nil"/>
              <w:right w:val="nil"/>
            </w:tcBorders>
            <w:shd w:val="clear" w:color="auto" w:fill="FFFFFF"/>
            <w:noWrap/>
            <w:vAlign w:val="bottom"/>
            <w:hideMark/>
          </w:tcPr>
          <w:p w14:paraId="3EFEDC82"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525E3F7E"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04B69D9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6CC78084"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0.035</w:t>
            </w:r>
          </w:p>
        </w:tc>
        <w:tc>
          <w:tcPr>
            <w:tcW w:w="630" w:type="dxa"/>
            <w:tcBorders>
              <w:top w:val="nil"/>
              <w:left w:val="nil"/>
              <w:bottom w:val="nil"/>
              <w:right w:val="nil"/>
            </w:tcBorders>
            <w:shd w:val="clear" w:color="auto" w:fill="FFFFFF"/>
            <w:noWrap/>
            <w:vAlign w:val="bottom"/>
            <w:hideMark/>
          </w:tcPr>
          <w:p w14:paraId="3C9A34AD"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w:t>
            </w:r>
          </w:p>
        </w:tc>
        <w:tc>
          <w:tcPr>
            <w:tcW w:w="711" w:type="dxa"/>
            <w:tcBorders>
              <w:top w:val="nil"/>
              <w:left w:val="nil"/>
              <w:bottom w:val="nil"/>
              <w:right w:val="nil"/>
            </w:tcBorders>
            <w:shd w:val="clear" w:color="auto" w:fill="FFFFFF"/>
            <w:noWrap/>
            <w:vAlign w:val="bottom"/>
            <w:hideMark/>
          </w:tcPr>
          <w:p w14:paraId="02E399E8"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0.016</w:t>
            </w:r>
          </w:p>
        </w:tc>
      </w:tr>
      <w:tr w:rsidR="00322A5F" w:rsidRPr="00322A5F" w14:paraId="56BF94DA" w14:textId="77777777" w:rsidTr="00322A5F">
        <w:trPr>
          <w:trHeight w:val="255"/>
        </w:trPr>
        <w:tc>
          <w:tcPr>
            <w:tcW w:w="4408" w:type="dxa"/>
            <w:tcBorders>
              <w:top w:val="nil"/>
              <w:left w:val="nil"/>
              <w:bottom w:val="nil"/>
              <w:right w:val="nil"/>
            </w:tcBorders>
            <w:shd w:val="clear" w:color="auto" w:fill="FFFFFF"/>
            <w:noWrap/>
            <w:vAlign w:val="bottom"/>
            <w:hideMark/>
          </w:tcPr>
          <w:p w14:paraId="7B4CD98D"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White</w:t>
            </w:r>
          </w:p>
        </w:tc>
        <w:tc>
          <w:tcPr>
            <w:tcW w:w="1082" w:type="dxa"/>
            <w:tcBorders>
              <w:top w:val="nil"/>
              <w:left w:val="nil"/>
              <w:bottom w:val="nil"/>
              <w:right w:val="nil"/>
            </w:tcBorders>
            <w:shd w:val="clear" w:color="auto" w:fill="FFFFFF"/>
            <w:noWrap/>
            <w:vAlign w:val="bottom"/>
            <w:hideMark/>
          </w:tcPr>
          <w:p w14:paraId="4E42FA9F"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7A957E19"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54138B34"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0CD0292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-0.477</w:t>
            </w:r>
          </w:p>
        </w:tc>
        <w:tc>
          <w:tcPr>
            <w:tcW w:w="630" w:type="dxa"/>
            <w:tcBorders>
              <w:top w:val="nil"/>
              <w:left w:val="nil"/>
              <w:bottom w:val="nil"/>
              <w:right w:val="nil"/>
            </w:tcBorders>
            <w:shd w:val="clear" w:color="auto" w:fill="FFFFFF"/>
            <w:noWrap/>
            <w:vAlign w:val="bottom"/>
            <w:hideMark/>
          </w:tcPr>
          <w:p w14:paraId="28C6854C"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62F471D3"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0.412</w:t>
            </w:r>
          </w:p>
        </w:tc>
      </w:tr>
      <w:tr w:rsidR="00322A5F" w:rsidRPr="00322A5F" w14:paraId="42520D39" w14:textId="77777777" w:rsidTr="00322A5F">
        <w:trPr>
          <w:trHeight w:val="255"/>
        </w:trPr>
        <w:tc>
          <w:tcPr>
            <w:tcW w:w="4408" w:type="dxa"/>
            <w:tcBorders>
              <w:top w:val="nil"/>
              <w:left w:val="nil"/>
              <w:bottom w:val="nil"/>
              <w:right w:val="nil"/>
            </w:tcBorders>
            <w:shd w:val="clear" w:color="auto" w:fill="FFFFFF"/>
            <w:noWrap/>
            <w:vAlign w:val="bottom"/>
            <w:hideMark/>
          </w:tcPr>
          <w:p w14:paraId="0EBE49F0"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Education</w:t>
            </w:r>
          </w:p>
        </w:tc>
        <w:tc>
          <w:tcPr>
            <w:tcW w:w="1082" w:type="dxa"/>
            <w:tcBorders>
              <w:top w:val="nil"/>
              <w:left w:val="nil"/>
              <w:bottom w:val="nil"/>
              <w:right w:val="nil"/>
            </w:tcBorders>
            <w:shd w:val="clear" w:color="auto" w:fill="FFFFFF"/>
            <w:noWrap/>
            <w:vAlign w:val="bottom"/>
            <w:hideMark/>
          </w:tcPr>
          <w:p w14:paraId="35272E64"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3B2B80A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0EF27336"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063AA67A"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-0.080</w:t>
            </w:r>
          </w:p>
        </w:tc>
        <w:tc>
          <w:tcPr>
            <w:tcW w:w="630" w:type="dxa"/>
            <w:tcBorders>
              <w:top w:val="nil"/>
              <w:left w:val="nil"/>
              <w:bottom w:val="nil"/>
              <w:right w:val="nil"/>
            </w:tcBorders>
            <w:shd w:val="clear" w:color="auto" w:fill="FFFFFF"/>
            <w:noWrap/>
            <w:vAlign w:val="bottom"/>
            <w:hideMark/>
          </w:tcPr>
          <w:p w14:paraId="13115138"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1A657BFB"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0.099</w:t>
            </w:r>
          </w:p>
        </w:tc>
      </w:tr>
      <w:tr w:rsidR="00322A5F" w:rsidRPr="00322A5F" w14:paraId="6C63767C" w14:textId="77777777" w:rsidTr="00322A5F">
        <w:trPr>
          <w:trHeight w:val="255"/>
        </w:trPr>
        <w:tc>
          <w:tcPr>
            <w:tcW w:w="4408" w:type="dxa"/>
            <w:tcBorders>
              <w:top w:val="nil"/>
              <w:left w:val="nil"/>
              <w:bottom w:val="nil"/>
              <w:right w:val="nil"/>
            </w:tcBorders>
            <w:shd w:val="clear" w:color="auto" w:fill="FFFFFF"/>
            <w:noWrap/>
            <w:vAlign w:val="bottom"/>
            <w:hideMark/>
          </w:tcPr>
          <w:p w14:paraId="60D210A8"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Time in DOC</w:t>
            </w:r>
          </w:p>
        </w:tc>
        <w:tc>
          <w:tcPr>
            <w:tcW w:w="1082" w:type="dxa"/>
            <w:tcBorders>
              <w:top w:val="nil"/>
              <w:left w:val="nil"/>
              <w:bottom w:val="nil"/>
              <w:right w:val="nil"/>
            </w:tcBorders>
            <w:shd w:val="clear" w:color="auto" w:fill="FFFFFF"/>
            <w:noWrap/>
            <w:vAlign w:val="bottom"/>
            <w:hideMark/>
          </w:tcPr>
          <w:p w14:paraId="75D5EBC6"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2AC2F69A"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147B4C89"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5933EE66"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-0.021</w:t>
            </w:r>
          </w:p>
        </w:tc>
        <w:tc>
          <w:tcPr>
            <w:tcW w:w="630" w:type="dxa"/>
            <w:tcBorders>
              <w:top w:val="nil"/>
              <w:left w:val="nil"/>
              <w:bottom w:val="nil"/>
              <w:right w:val="nil"/>
            </w:tcBorders>
            <w:shd w:val="clear" w:color="auto" w:fill="FFFFFF"/>
            <w:noWrap/>
            <w:vAlign w:val="bottom"/>
            <w:hideMark/>
          </w:tcPr>
          <w:p w14:paraId="384D9599"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1370E08E"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0.027</w:t>
            </w:r>
          </w:p>
        </w:tc>
      </w:tr>
      <w:tr w:rsidR="00322A5F" w:rsidRPr="00322A5F" w14:paraId="5ABD137E" w14:textId="77777777" w:rsidTr="00322A5F">
        <w:trPr>
          <w:trHeight w:val="255"/>
        </w:trPr>
        <w:tc>
          <w:tcPr>
            <w:tcW w:w="4408" w:type="dxa"/>
            <w:tcBorders>
              <w:top w:val="nil"/>
              <w:left w:val="nil"/>
              <w:bottom w:val="nil"/>
              <w:right w:val="nil"/>
            </w:tcBorders>
            <w:shd w:val="clear" w:color="auto" w:fill="FFFFFF"/>
            <w:noWrap/>
            <w:vAlign w:val="bottom"/>
            <w:hideMark/>
          </w:tcPr>
          <w:p w14:paraId="3EC55727"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General Population</w:t>
            </w:r>
          </w:p>
        </w:tc>
        <w:tc>
          <w:tcPr>
            <w:tcW w:w="1082" w:type="dxa"/>
            <w:tcBorders>
              <w:top w:val="nil"/>
              <w:left w:val="nil"/>
              <w:bottom w:val="nil"/>
              <w:right w:val="nil"/>
            </w:tcBorders>
            <w:shd w:val="clear" w:color="auto" w:fill="FFFFFF"/>
            <w:noWrap/>
            <w:vAlign w:val="bottom"/>
            <w:hideMark/>
          </w:tcPr>
          <w:p w14:paraId="33AD406C"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188D2D2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7B08FFCF"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234AAA94"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0.311</w:t>
            </w:r>
          </w:p>
        </w:tc>
        <w:tc>
          <w:tcPr>
            <w:tcW w:w="630" w:type="dxa"/>
            <w:tcBorders>
              <w:top w:val="nil"/>
              <w:left w:val="nil"/>
              <w:bottom w:val="nil"/>
              <w:right w:val="nil"/>
            </w:tcBorders>
            <w:shd w:val="clear" w:color="auto" w:fill="FFFFFF"/>
            <w:noWrap/>
            <w:vAlign w:val="bottom"/>
            <w:hideMark/>
          </w:tcPr>
          <w:p w14:paraId="027EA558"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4F99CF93"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0.330</w:t>
            </w:r>
          </w:p>
        </w:tc>
      </w:tr>
      <w:tr w:rsidR="00322A5F" w:rsidRPr="00322A5F" w14:paraId="12089EBA" w14:textId="77777777" w:rsidTr="00322A5F">
        <w:trPr>
          <w:trHeight w:val="255"/>
        </w:trPr>
        <w:tc>
          <w:tcPr>
            <w:tcW w:w="4408" w:type="dxa"/>
            <w:tcBorders>
              <w:top w:val="nil"/>
              <w:left w:val="nil"/>
              <w:bottom w:val="nil"/>
              <w:right w:val="nil"/>
            </w:tcBorders>
            <w:shd w:val="clear" w:color="auto" w:fill="FFFFFF"/>
            <w:noWrap/>
            <w:vAlign w:val="bottom"/>
            <w:hideMark/>
          </w:tcPr>
          <w:p w14:paraId="22A1B87E"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Number of Children</w:t>
            </w:r>
          </w:p>
        </w:tc>
        <w:tc>
          <w:tcPr>
            <w:tcW w:w="1082" w:type="dxa"/>
            <w:tcBorders>
              <w:top w:val="nil"/>
              <w:left w:val="nil"/>
              <w:bottom w:val="nil"/>
              <w:right w:val="nil"/>
            </w:tcBorders>
            <w:shd w:val="clear" w:color="auto" w:fill="FFFFFF"/>
            <w:noWrap/>
            <w:vAlign w:val="bottom"/>
            <w:hideMark/>
          </w:tcPr>
          <w:p w14:paraId="312F8CF2"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083EEB39"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70D28BDF"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584CE39F"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-0.156</w:t>
            </w:r>
          </w:p>
        </w:tc>
        <w:tc>
          <w:tcPr>
            <w:tcW w:w="630" w:type="dxa"/>
            <w:tcBorders>
              <w:top w:val="nil"/>
              <w:left w:val="nil"/>
              <w:bottom w:val="nil"/>
              <w:right w:val="nil"/>
            </w:tcBorders>
            <w:shd w:val="clear" w:color="auto" w:fill="FFFFFF"/>
            <w:noWrap/>
            <w:vAlign w:val="bottom"/>
            <w:hideMark/>
          </w:tcPr>
          <w:p w14:paraId="18C51D1C"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5CFA868C"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0.106</w:t>
            </w:r>
          </w:p>
        </w:tc>
      </w:tr>
      <w:tr w:rsidR="00322A5F" w:rsidRPr="00322A5F" w14:paraId="29027B92" w14:textId="77777777" w:rsidTr="00322A5F">
        <w:trPr>
          <w:trHeight w:val="255"/>
        </w:trPr>
        <w:tc>
          <w:tcPr>
            <w:tcW w:w="5490" w:type="dxa"/>
            <w:gridSpan w:val="2"/>
            <w:tcBorders>
              <w:top w:val="nil"/>
              <w:left w:val="nil"/>
              <w:bottom w:val="nil"/>
              <w:right w:val="nil"/>
            </w:tcBorders>
            <w:shd w:val="clear" w:color="auto" w:fill="FFFFFF"/>
            <w:noWrap/>
            <w:vAlign w:val="bottom"/>
            <w:hideMark/>
          </w:tcPr>
          <w:p w14:paraId="6FBDEE54"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Offense Type (Reference = Drug Offense)</w:t>
            </w:r>
          </w:p>
        </w:tc>
        <w:tc>
          <w:tcPr>
            <w:tcW w:w="1161" w:type="dxa"/>
            <w:tcBorders>
              <w:top w:val="nil"/>
              <w:left w:val="nil"/>
              <w:bottom w:val="nil"/>
              <w:right w:val="nil"/>
            </w:tcBorders>
            <w:shd w:val="clear" w:color="auto" w:fill="FFFFFF"/>
            <w:noWrap/>
            <w:vAlign w:val="bottom"/>
            <w:hideMark/>
          </w:tcPr>
          <w:p w14:paraId="646D0586"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4579CD0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6CBA8BB5"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630" w:type="dxa"/>
            <w:tcBorders>
              <w:top w:val="nil"/>
              <w:left w:val="nil"/>
              <w:bottom w:val="nil"/>
              <w:right w:val="nil"/>
            </w:tcBorders>
            <w:shd w:val="clear" w:color="auto" w:fill="FFFFFF"/>
            <w:noWrap/>
            <w:vAlign w:val="bottom"/>
            <w:hideMark/>
          </w:tcPr>
          <w:p w14:paraId="4B8E919E"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377545C6"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 </w:t>
            </w:r>
          </w:p>
        </w:tc>
      </w:tr>
      <w:tr w:rsidR="00322A5F" w:rsidRPr="00322A5F" w14:paraId="0FEB5F9A" w14:textId="77777777" w:rsidTr="00322A5F">
        <w:trPr>
          <w:trHeight w:val="255"/>
        </w:trPr>
        <w:tc>
          <w:tcPr>
            <w:tcW w:w="4408" w:type="dxa"/>
            <w:tcBorders>
              <w:top w:val="nil"/>
              <w:left w:val="nil"/>
              <w:bottom w:val="nil"/>
              <w:right w:val="nil"/>
            </w:tcBorders>
            <w:shd w:val="clear" w:color="auto" w:fill="FFFFFF"/>
            <w:noWrap/>
            <w:vAlign w:val="bottom"/>
            <w:hideMark/>
          </w:tcPr>
          <w:p w14:paraId="5F4B642F"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Violent</w:t>
            </w:r>
          </w:p>
        </w:tc>
        <w:tc>
          <w:tcPr>
            <w:tcW w:w="1082" w:type="dxa"/>
            <w:tcBorders>
              <w:top w:val="nil"/>
              <w:left w:val="nil"/>
              <w:bottom w:val="nil"/>
              <w:right w:val="nil"/>
            </w:tcBorders>
            <w:shd w:val="clear" w:color="auto" w:fill="FFFFFF"/>
            <w:noWrap/>
            <w:vAlign w:val="bottom"/>
            <w:hideMark/>
          </w:tcPr>
          <w:p w14:paraId="6A4F383D" w14:textId="77777777" w:rsidR="00322A5F" w:rsidRPr="00322A5F" w:rsidRDefault="00322A5F" w:rsidP="00322A5F">
            <w:pPr>
              <w:spacing w:line="240" w:lineRule="auto"/>
              <w:jc w:val="center"/>
              <w:rPr>
                <w:rFonts w:eastAsia="Times New Roman" w:cs="Times New Roman"/>
                <w:i/>
                <w:iCs/>
                <w:sz w:val="22"/>
              </w:rPr>
            </w:pPr>
            <w:r w:rsidRPr="00322A5F">
              <w:rPr>
                <w:rFonts w:eastAsia="SimSun" w:cs="Times New Roman"/>
                <w:i/>
                <w:iCs/>
                <w:sz w:val="22"/>
              </w:rPr>
              <w:t> </w:t>
            </w:r>
          </w:p>
        </w:tc>
        <w:tc>
          <w:tcPr>
            <w:tcW w:w="1161" w:type="dxa"/>
            <w:tcBorders>
              <w:top w:val="nil"/>
              <w:left w:val="nil"/>
              <w:bottom w:val="nil"/>
              <w:right w:val="nil"/>
            </w:tcBorders>
            <w:shd w:val="clear" w:color="auto" w:fill="FFFFFF"/>
            <w:noWrap/>
            <w:vAlign w:val="bottom"/>
            <w:hideMark/>
          </w:tcPr>
          <w:p w14:paraId="7C2D5BD7" w14:textId="77777777" w:rsidR="00322A5F" w:rsidRPr="00322A5F" w:rsidRDefault="00322A5F" w:rsidP="00322A5F">
            <w:pPr>
              <w:spacing w:line="240" w:lineRule="auto"/>
              <w:jc w:val="center"/>
              <w:rPr>
                <w:rFonts w:eastAsia="Times New Roman" w:cs="Times New Roman"/>
                <w:i/>
                <w:iCs/>
                <w:sz w:val="22"/>
              </w:rPr>
            </w:pPr>
            <w:r w:rsidRPr="00322A5F">
              <w:rPr>
                <w:rFonts w:eastAsia="SimSun" w:cs="Times New Roman"/>
                <w:i/>
                <w:iCs/>
                <w:sz w:val="22"/>
              </w:rPr>
              <w:t> </w:t>
            </w:r>
          </w:p>
        </w:tc>
        <w:tc>
          <w:tcPr>
            <w:tcW w:w="272" w:type="dxa"/>
            <w:tcBorders>
              <w:top w:val="nil"/>
              <w:left w:val="nil"/>
              <w:bottom w:val="nil"/>
              <w:right w:val="nil"/>
            </w:tcBorders>
            <w:shd w:val="clear" w:color="auto" w:fill="FFFFFF"/>
            <w:noWrap/>
            <w:vAlign w:val="bottom"/>
            <w:hideMark/>
          </w:tcPr>
          <w:p w14:paraId="73294595" w14:textId="77777777" w:rsidR="00322A5F" w:rsidRPr="00322A5F" w:rsidRDefault="00322A5F" w:rsidP="00322A5F">
            <w:pPr>
              <w:spacing w:line="240" w:lineRule="auto"/>
              <w:jc w:val="center"/>
              <w:rPr>
                <w:rFonts w:eastAsia="Times New Roman" w:cs="Times New Roman"/>
                <w:i/>
                <w:iCs/>
                <w:sz w:val="22"/>
              </w:rPr>
            </w:pPr>
            <w:r w:rsidRPr="00322A5F">
              <w:rPr>
                <w:rFonts w:eastAsia="SimSun" w:cs="Times New Roman"/>
                <w:i/>
                <w:iCs/>
                <w:sz w:val="22"/>
              </w:rPr>
              <w:t> </w:t>
            </w:r>
          </w:p>
        </w:tc>
        <w:tc>
          <w:tcPr>
            <w:tcW w:w="817" w:type="dxa"/>
            <w:tcBorders>
              <w:top w:val="nil"/>
              <w:left w:val="nil"/>
              <w:bottom w:val="nil"/>
              <w:right w:val="nil"/>
            </w:tcBorders>
            <w:shd w:val="clear" w:color="auto" w:fill="FFFFFF"/>
            <w:noWrap/>
            <w:vAlign w:val="bottom"/>
            <w:hideMark/>
          </w:tcPr>
          <w:p w14:paraId="115F5659"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-0.067</w:t>
            </w:r>
          </w:p>
        </w:tc>
        <w:tc>
          <w:tcPr>
            <w:tcW w:w="630" w:type="dxa"/>
            <w:tcBorders>
              <w:top w:val="nil"/>
              <w:left w:val="nil"/>
              <w:bottom w:val="nil"/>
              <w:right w:val="nil"/>
            </w:tcBorders>
            <w:shd w:val="clear" w:color="auto" w:fill="FFFFFF"/>
            <w:noWrap/>
            <w:vAlign w:val="bottom"/>
            <w:hideMark/>
          </w:tcPr>
          <w:p w14:paraId="1180597E"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03F6035B"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0.414</w:t>
            </w:r>
          </w:p>
        </w:tc>
      </w:tr>
      <w:tr w:rsidR="00322A5F" w:rsidRPr="00322A5F" w14:paraId="1AE9F7EE" w14:textId="77777777" w:rsidTr="00322A5F">
        <w:trPr>
          <w:trHeight w:val="255"/>
        </w:trPr>
        <w:tc>
          <w:tcPr>
            <w:tcW w:w="4408" w:type="dxa"/>
            <w:tcBorders>
              <w:top w:val="nil"/>
              <w:left w:val="nil"/>
              <w:bottom w:val="nil"/>
              <w:right w:val="nil"/>
            </w:tcBorders>
            <w:shd w:val="clear" w:color="auto" w:fill="FFFFFF"/>
            <w:noWrap/>
            <w:vAlign w:val="bottom"/>
            <w:hideMark/>
          </w:tcPr>
          <w:p w14:paraId="53BF4A7F"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Property/Other</w:t>
            </w:r>
          </w:p>
        </w:tc>
        <w:tc>
          <w:tcPr>
            <w:tcW w:w="1082" w:type="dxa"/>
            <w:tcBorders>
              <w:top w:val="nil"/>
              <w:left w:val="nil"/>
              <w:bottom w:val="nil"/>
              <w:right w:val="nil"/>
            </w:tcBorders>
            <w:shd w:val="clear" w:color="auto" w:fill="FFFFFF"/>
            <w:noWrap/>
            <w:vAlign w:val="bottom"/>
            <w:hideMark/>
          </w:tcPr>
          <w:p w14:paraId="6C99C2C6"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61D2218F"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555E6010"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20981BFB"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-0.032</w:t>
            </w:r>
          </w:p>
        </w:tc>
        <w:tc>
          <w:tcPr>
            <w:tcW w:w="630" w:type="dxa"/>
            <w:tcBorders>
              <w:top w:val="nil"/>
              <w:left w:val="nil"/>
              <w:bottom w:val="nil"/>
              <w:right w:val="nil"/>
            </w:tcBorders>
            <w:shd w:val="clear" w:color="auto" w:fill="FFFFFF"/>
            <w:noWrap/>
            <w:vAlign w:val="bottom"/>
            <w:hideMark/>
          </w:tcPr>
          <w:p w14:paraId="067641AE"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01C26D5B"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0.369</w:t>
            </w:r>
          </w:p>
        </w:tc>
      </w:tr>
      <w:tr w:rsidR="00322A5F" w:rsidRPr="00322A5F" w14:paraId="524D04A8" w14:textId="77777777" w:rsidTr="00322A5F">
        <w:trPr>
          <w:trHeight w:val="255"/>
        </w:trPr>
        <w:tc>
          <w:tcPr>
            <w:tcW w:w="4408" w:type="dxa"/>
            <w:tcBorders>
              <w:top w:val="nil"/>
              <w:left w:val="nil"/>
              <w:bottom w:val="nil"/>
              <w:right w:val="nil"/>
            </w:tcBorders>
            <w:shd w:val="clear" w:color="auto" w:fill="FFFFFF"/>
            <w:noWrap/>
            <w:vAlign w:val="bottom"/>
            <w:hideMark/>
          </w:tcPr>
          <w:p w14:paraId="1CD91DF6"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Instability Index</w:t>
            </w:r>
          </w:p>
        </w:tc>
        <w:tc>
          <w:tcPr>
            <w:tcW w:w="1082" w:type="dxa"/>
            <w:tcBorders>
              <w:top w:val="nil"/>
              <w:left w:val="nil"/>
              <w:bottom w:val="nil"/>
              <w:right w:val="nil"/>
            </w:tcBorders>
            <w:shd w:val="clear" w:color="auto" w:fill="FFFFFF"/>
            <w:noWrap/>
            <w:vAlign w:val="bottom"/>
            <w:hideMark/>
          </w:tcPr>
          <w:p w14:paraId="505F2F32"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6EA28048"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6B20324E"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4D36C6C2"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-0.250</w:t>
            </w:r>
          </w:p>
        </w:tc>
        <w:tc>
          <w:tcPr>
            <w:tcW w:w="630" w:type="dxa"/>
            <w:tcBorders>
              <w:top w:val="nil"/>
              <w:left w:val="nil"/>
              <w:bottom w:val="nil"/>
              <w:right w:val="nil"/>
            </w:tcBorders>
            <w:shd w:val="clear" w:color="auto" w:fill="FFFFFF"/>
            <w:noWrap/>
            <w:vAlign w:val="bottom"/>
            <w:hideMark/>
          </w:tcPr>
          <w:p w14:paraId="4973D405"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nil"/>
              <w:right w:val="nil"/>
            </w:tcBorders>
            <w:shd w:val="clear" w:color="auto" w:fill="FFFFFF"/>
            <w:noWrap/>
            <w:vAlign w:val="bottom"/>
            <w:hideMark/>
          </w:tcPr>
          <w:p w14:paraId="7B99B1F5"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0.146</w:t>
            </w:r>
          </w:p>
        </w:tc>
      </w:tr>
      <w:tr w:rsidR="00322A5F" w:rsidRPr="00322A5F" w14:paraId="6AB13177" w14:textId="77777777" w:rsidTr="00322A5F">
        <w:trPr>
          <w:trHeight w:val="255"/>
        </w:trPr>
        <w:tc>
          <w:tcPr>
            <w:tcW w:w="4408" w:type="dxa"/>
            <w:tcBorders>
              <w:top w:val="nil"/>
              <w:left w:val="nil"/>
              <w:bottom w:val="nil"/>
              <w:right w:val="nil"/>
            </w:tcBorders>
            <w:shd w:val="clear" w:color="auto" w:fill="FFFFFF"/>
            <w:noWrap/>
            <w:vAlign w:val="bottom"/>
            <w:hideMark/>
          </w:tcPr>
          <w:p w14:paraId="6FB87639"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Substance Use Disorder</w:t>
            </w:r>
          </w:p>
        </w:tc>
        <w:tc>
          <w:tcPr>
            <w:tcW w:w="1082" w:type="dxa"/>
            <w:tcBorders>
              <w:top w:val="nil"/>
              <w:left w:val="nil"/>
              <w:bottom w:val="nil"/>
              <w:right w:val="nil"/>
            </w:tcBorders>
            <w:shd w:val="clear" w:color="auto" w:fill="FFFFFF"/>
            <w:noWrap/>
            <w:vAlign w:val="bottom"/>
            <w:hideMark/>
          </w:tcPr>
          <w:p w14:paraId="129C56B4"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nil"/>
              <w:right w:val="nil"/>
            </w:tcBorders>
            <w:shd w:val="clear" w:color="auto" w:fill="FFFFFF"/>
            <w:noWrap/>
            <w:vAlign w:val="bottom"/>
            <w:hideMark/>
          </w:tcPr>
          <w:p w14:paraId="12B703BF"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nil"/>
              <w:right w:val="nil"/>
            </w:tcBorders>
            <w:shd w:val="clear" w:color="auto" w:fill="FFFFFF"/>
            <w:noWrap/>
            <w:vAlign w:val="bottom"/>
            <w:hideMark/>
          </w:tcPr>
          <w:p w14:paraId="12176D63"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nil"/>
              <w:right w:val="nil"/>
            </w:tcBorders>
            <w:shd w:val="clear" w:color="auto" w:fill="FFFFFF"/>
            <w:noWrap/>
            <w:vAlign w:val="bottom"/>
            <w:hideMark/>
          </w:tcPr>
          <w:p w14:paraId="27CC2EE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-0.706</w:t>
            </w:r>
          </w:p>
        </w:tc>
        <w:tc>
          <w:tcPr>
            <w:tcW w:w="630" w:type="dxa"/>
            <w:tcBorders>
              <w:top w:val="nil"/>
              <w:left w:val="nil"/>
              <w:bottom w:val="nil"/>
              <w:right w:val="nil"/>
            </w:tcBorders>
            <w:shd w:val="clear" w:color="auto" w:fill="FFFFFF"/>
            <w:noWrap/>
            <w:vAlign w:val="bottom"/>
            <w:hideMark/>
          </w:tcPr>
          <w:p w14:paraId="5F2F4541"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w:t>
            </w:r>
          </w:p>
        </w:tc>
        <w:tc>
          <w:tcPr>
            <w:tcW w:w="711" w:type="dxa"/>
            <w:tcBorders>
              <w:top w:val="nil"/>
              <w:left w:val="nil"/>
              <w:bottom w:val="nil"/>
              <w:right w:val="nil"/>
            </w:tcBorders>
            <w:shd w:val="clear" w:color="auto" w:fill="FFFFFF"/>
            <w:noWrap/>
            <w:vAlign w:val="bottom"/>
            <w:hideMark/>
          </w:tcPr>
          <w:p w14:paraId="3380AE73"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0.338</w:t>
            </w:r>
          </w:p>
        </w:tc>
      </w:tr>
      <w:tr w:rsidR="00322A5F" w:rsidRPr="00322A5F" w14:paraId="54A15B59" w14:textId="77777777" w:rsidTr="00322A5F">
        <w:trPr>
          <w:trHeight w:val="255"/>
        </w:trPr>
        <w:tc>
          <w:tcPr>
            <w:tcW w:w="4408" w:type="dxa"/>
            <w:tcBorders>
              <w:top w:val="nil"/>
              <w:left w:val="nil"/>
              <w:bottom w:val="single" w:sz="4" w:space="0" w:color="auto"/>
              <w:right w:val="nil"/>
            </w:tcBorders>
            <w:shd w:val="clear" w:color="auto" w:fill="FFFFFF"/>
            <w:noWrap/>
            <w:vAlign w:val="bottom"/>
            <w:hideMark/>
          </w:tcPr>
          <w:p w14:paraId="2AC38B35" w14:textId="77777777" w:rsidR="00322A5F" w:rsidRPr="00322A5F" w:rsidRDefault="00322A5F" w:rsidP="00322A5F">
            <w:pPr>
              <w:spacing w:line="240" w:lineRule="auto"/>
              <w:rPr>
                <w:rFonts w:eastAsia="Times New Roman" w:cs="Times New Roman"/>
                <w:sz w:val="22"/>
              </w:rPr>
            </w:pPr>
            <w:r w:rsidRPr="00322A5F">
              <w:rPr>
                <w:rFonts w:eastAsia="Times New Roman" w:cs="Times New Roman"/>
                <w:sz w:val="22"/>
              </w:rPr>
              <w:t>Social Integration</w:t>
            </w:r>
          </w:p>
        </w:tc>
        <w:tc>
          <w:tcPr>
            <w:tcW w:w="1082" w:type="dxa"/>
            <w:tcBorders>
              <w:top w:val="nil"/>
              <w:left w:val="nil"/>
              <w:bottom w:val="single" w:sz="4" w:space="0" w:color="auto"/>
              <w:right w:val="nil"/>
            </w:tcBorders>
            <w:shd w:val="clear" w:color="auto" w:fill="FFFFFF"/>
            <w:noWrap/>
            <w:vAlign w:val="bottom"/>
            <w:hideMark/>
          </w:tcPr>
          <w:p w14:paraId="2AC03617"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1161" w:type="dxa"/>
            <w:tcBorders>
              <w:top w:val="nil"/>
              <w:left w:val="nil"/>
              <w:bottom w:val="single" w:sz="4" w:space="0" w:color="auto"/>
              <w:right w:val="nil"/>
            </w:tcBorders>
            <w:shd w:val="clear" w:color="auto" w:fill="FFFFFF"/>
            <w:noWrap/>
            <w:vAlign w:val="bottom"/>
            <w:hideMark/>
          </w:tcPr>
          <w:p w14:paraId="2AE7CEEC"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272" w:type="dxa"/>
            <w:tcBorders>
              <w:top w:val="nil"/>
              <w:left w:val="nil"/>
              <w:bottom w:val="single" w:sz="4" w:space="0" w:color="auto"/>
              <w:right w:val="nil"/>
            </w:tcBorders>
            <w:shd w:val="clear" w:color="auto" w:fill="FFFFFF"/>
            <w:noWrap/>
            <w:vAlign w:val="bottom"/>
            <w:hideMark/>
          </w:tcPr>
          <w:p w14:paraId="19FA00EA"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817" w:type="dxa"/>
            <w:tcBorders>
              <w:top w:val="nil"/>
              <w:left w:val="nil"/>
              <w:bottom w:val="single" w:sz="4" w:space="0" w:color="auto"/>
              <w:right w:val="nil"/>
            </w:tcBorders>
            <w:shd w:val="clear" w:color="auto" w:fill="FFFFFF"/>
            <w:noWrap/>
            <w:vAlign w:val="bottom"/>
            <w:hideMark/>
          </w:tcPr>
          <w:p w14:paraId="2701C7EF"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0.455</w:t>
            </w:r>
          </w:p>
        </w:tc>
        <w:tc>
          <w:tcPr>
            <w:tcW w:w="630" w:type="dxa"/>
            <w:tcBorders>
              <w:top w:val="nil"/>
              <w:left w:val="nil"/>
              <w:bottom w:val="single" w:sz="4" w:space="0" w:color="auto"/>
              <w:right w:val="nil"/>
            </w:tcBorders>
            <w:shd w:val="clear" w:color="auto" w:fill="FFFFFF"/>
            <w:noWrap/>
            <w:vAlign w:val="bottom"/>
            <w:hideMark/>
          </w:tcPr>
          <w:p w14:paraId="0A5FD4C6" w14:textId="77777777" w:rsidR="00322A5F" w:rsidRPr="00322A5F" w:rsidRDefault="00322A5F" w:rsidP="00322A5F">
            <w:pPr>
              <w:spacing w:line="240" w:lineRule="auto"/>
              <w:jc w:val="center"/>
              <w:rPr>
                <w:rFonts w:eastAsia="Times New Roman" w:cs="Times New Roman"/>
                <w:sz w:val="22"/>
              </w:rPr>
            </w:pPr>
            <w:r w:rsidRPr="00322A5F">
              <w:rPr>
                <w:rFonts w:eastAsia="SimSun" w:cs="Times New Roman"/>
                <w:sz w:val="22"/>
              </w:rPr>
              <w:t> </w:t>
            </w:r>
          </w:p>
        </w:tc>
        <w:tc>
          <w:tcPr>
            <w:tcW w:w="711" w:type="dxa"/>
            <w:tcBorders>
              <w:top w:val="nil"/>
              <w:left w:val="nil"/>
              <w:bottom w:val="single" w:sz="4" w:space="0" w:color="auto"/>
              <w:right w:val="nil"/>
            </w:tcBorders>
            <w:shd w:val="clear" w:color="auto" w:fill="FFFFFF"/>
            <w:noWrap/>
            <w:vAlign w:val="bottom"/>
            <w:hideMark/>
          </w:tcPr>
          <w:p w14:paraId="19726535" w14:textId="77777777" w:rsidR="00322A5F" w:rsidRPr="00322A5F" w:rsidRDefault="00322A5F" w:rsidP="00322A5F">
            <w:pPr>
              <w:spacing w:line="240" w:lineRule="auto"/>
              <w:rPr>
                <w:rFonts w:eastAsia="Times New Roman" w:cs="Times New Roman"/>
                <w:sz w:val="22"/>
              </w:rPr>
            </w:pPr>
            <w:r w:rsidRPr="00322A5F">
              <w:rPr>
                <w:rFonts w:eastAsia="SimSun" w:cs="Times New Roman"/>
                <w:sz w:val="22"/>
              </w:rPr>
              <w:t>0.306</w:t>
            </w:r>
          </w:p>
        </w:tc>
      </w:tr>
      <w:tr w:rsidR="00322A5F" w:rsidRPr="00322A5F" w14:paraId="227D62D6" w14:textId="77777777" w:rsidTr="00322A5F">
        <w:trPr>
          <w:trHeight w:val="255"/>
        </w:trPr>
        <w:tc>
          <w:tcPr>
            <w:tcW w:w="6651" w:type="dxa"/>
            <w:gridSpan w:val="3"/>
            <w:tcBorders>
              <w:top w:val="nil"/>
              <w:left w:val="nil"/>
              <w:bottom w:val="nil"/>
              <w:right w:val="nil"/>
            </w:tcBorders>
            <w:shd w:val="clear" w:color="auto" w:fill="FFFFFF"/>
            <w:noWrap/>
            <w:vAlign w:val="bottom"/>
            <w:hideMark/>
          </w:tcPr>
          <w:p w14:paraId="4D3A4EE8" w14:textId="77777777" w:rsidR="00322A5F" w:rsidRPr="00322A5F" w:rsidRDefault="00322A5F" w:rsidP="00322A5F">
            <w:pPr>
              <w:spacing w:line="240" w:lineRule="auto"/>
              <w:rPr>
                <w:rFonts w:eastAsia="Times New Roman" w:cs="Times New Roman"/>
                <w:sz w:val="18"/>
                <w:szCs w:val="18"/>
              </w:rPr>
            </w:pPr>
            <w:r w:rsidRPr="00322A5F">
              <w:rPr>
                <w:rFonts w:eastAsia="Times New Roman" w:cs="Times New Roman"/>
                <w:sz w:val="18"/>
                <w:szCs w:val="18"/>
              </w:rPr>
              <w:t>† p &lt; .10, * p &lt; .05</w:t>
            </w:r>
          </w:p>
        </w:tc>
        <w:tc>
          <w:tcPr>
            <w:tcW w:w="272" w:type="dxa"/>
            <w:tcBorders>
              <w:top w:val="nil"/>
              <w:left w:val="nil"/>
              <w:bottom w:val="nil"/>
              <w:right w:val="nil"/>
            </w:tcBorders>
            <w:shd w:val="clear" w:color="auto" w:fill="FFFFFF"/>
            <w:noWrap/>
            <w:vAlign w:val="bottom"/>
            <w:hideMark/>
          </w:tcPr>
          <w:p w14:paraId="50F1F17F" w14:textId="77777777" w:rsidR="00322A5F" w:rsidRPr="00322A5F" w:rsidRDefault="00322A5F" w:rsidP="00322A5F">
            <w:pPr>
              <w:spacing w:line="240" w:lineRule="auto"/>
              <w:rPr>
                <w:rFonts w:eastAsia="Times New Roman" w:cs="Times New Roman"/>
                <w:sz w:val="20"/>
                <w:szCs w:val="20"/>
              </w:rPr>
            </w:pPr>
            <w:r w:rsidRPr="00322A5F">
              <w:rPr>
                <w:rFonts w:eastAsia="Times New Roman" w:cs="Times New Roman"/>
                <w:sz w:val="20"/>
                <w:szCs w:val="20"/>
              </w:rPr>
              <w:t> </w:t>
            </w:r>
          </w:p>
        </w:tc>
        <w:tc>
          <w:tcPr>
            <w:tcW w:w="817" w:type="dxa"/>
            <w:tcBorders>
              <w:top w:val="nil"/>
              <w:left w:val="nil"/>
              <w:bottom w:val="nil"/>
              <w:right w:val="nil"/>
            </w:tcBorders>
            <w:shd w:val="clear" w:color="auto" w:fill="FFFFFF"/>
            <w:noWrap/>
            <w:vAlign w:val="bottom"/>
            <w:hideMark/>
          </w:tcPr>
          <w:p w14:paraId="6CCA7F75" w14:textId="77777777" w:rsidR="00322A5F" w:rsidRPr="00322A5F" w:rsidRDefault="00322A5F" w:rsidP="00322A5F">
            <w:pPr>
              <w:spacing w:line="240" w:lineRule="auto"/>
              <w:rPr>
                <w:rFonts w:eastAsia="Times New Roman" w:cs="Times New Roman"/>
                <w:sz w:val="20"/>
                <w:szCs w:val="20"/>
              </w:rPr>
            </w:pPr>
            <w:r w:rsidRPr="00322A5F">
              <w:rPr>
                <w:rFonts w:eastAsia="Times New Roman" w:cs="Times New Roman"/>
                <w:sz w:val="20"/>
                <w:szCs w:val="20"/>
              </w:rPr>
              <w:t> </w:t>
            </w:r>
          </w:p>
        </w:tc>
        <w:tc>
          <w:tcPr>
            <w:tcW w:w="630" w:type="dxa"/>
            <w:tcBorders>
              <w:top w:val="nil"/>
              <w:left w:val="nil"/>
              <w:bottom w:val="nil"/>
              <w:right w:val="nil"/>
            </w:tcBorders>
            <w:shd w:val="clear" w:color="auto" w:fill="FFFFFF"/>
            <w:noWrap/>
            <w:vAlign w:val="bottom"/>
            <w:hideMark/>
          </w:tcPr>
          <w:p w14:paraId="2F88A20B" w14:textId="77777777" w:rsidR="00322A5F" w:rsidRPr="00322A5F" w:rsidRDefault="00322A5F" w:rsidP="00322A5F">
            <w:pPr>
              <w:spacing w:line="240" w:lineRule="auto"/>
              <w:rPr>
                <w:rFonts w:eastAsia="Times New Roman" w:cs="Times New Roman"/>
                <w:sz w:val="20"/>
                <w:szCs w:val="20"/>
              </w:rPr>
            </w:pPr>
            <w:r w:rsidRPr="00322A5F">
              <w:rPr>
                <w:rFonts w:eastAsia="Times New Roman" w:cs="Times New Roman"/>
                <w:sz w:val="20"/>
                <w:szCs w:val="20"/>
              </w:rPr>
              <w:t> </w:t>
            </w:r>
          </w:p>
        </w:tc>
        <w:tc>
          <w:tcPr>
            <w:tcW w:w="711" w:type="dxa"/>
            <w:tcBorders>
              <w:top w:val="nil"/>
              <w:left w:val="nil"/>
              <w:bottom w:val="nil"/>
              <w:right w:val="nil"/>
            </w:tcBorders>
            <w:shd w:val="clear" w:color="auto" w:fill="FFFFFF"/>
            <w:noWrap/>
            <w:vAlign w:val="bottom"/>
            <w:hideMark/>
          </w:tcPr>
          <w:p w14:paraId="27BD4143" w14:textId="77777777" w:rsidR="00322A5F" w:rsidRPr="00322A5F" w:rsidRDefault="00322A5F" w:rsidP="00322A5F">
            <w:pPr>
              <w:spacing w:line="240" w:lineRule="auto"/>
              <w:rPr>
                <w:rFonts w:eastAsia="Times New Roman" w:cs="Times New Roman"/>
                <w:sz w:val="20"/>
                <w:szCs w:val="20"/>
              </w:rPr>
            </w:pPr>
            <w:r w:rsidRPr="00322A5F">
              <w:rPr>
                <w:rFonts w:eastAsia="Times New Roman" w:cs="Times New Roman"/>
                <w:sz w:val="20"/>
                <w:szCs w:val="20"/>
              </w:rPr>
              <w:t> </w:t>
            </w:r>
          </w:p>
        </w:tc>
      </w:tr>
      <w:tr w:rsidR="00322A5F" w:rsidRPr="00322A5F" w14:paraId="7A96E6A3" w14:textId="77777777" w:rsidTr="001918F2">
        <w:trPr>
          <w:trHeight w:val="255"/>
        </w:trPr>
        <w:tc>
          <w:tcPr>
            <w:tcW w:w="9081" w:type="dxa"/>
            <w:gridSpan w:val="7"/>
            <w:tcBorders>
              <w:top w:val="nil"/>
              <w:left w:val="nil"/>
              <w:bottom w:val="nil"/>
              <w:right w:val="nil"/>
            </w:tcBorders>
            <w:shd w:val="clear" w:color="auto" w:fill="auto"/>
            <w:noWrap/>
            <w:vAlign w:val="bottom"/>
            <w:hideMark/>
          </w:tcPr>
          <w:p w14:paraId="3F4567C3" w14:textId="254B741F" w:rsidR="00322A5F" w:rsidRPr="00322A5F" w:rsidRDefault="003B67E5" w:rsidP="00322A5F">
            <w:pPr>
              <w:spacing w:line="240" w:lineRule="auto"/>
              <w:rPr>
                <w:rFonts w:eastAsia="Times New Roman" w:cs="Times New Roman"/>
                <w:sz w:val="18"/>
                <w:szCs w:val="18"/>
              </w:rPr>
            </w:pPr>
            <w:r>
              <w:rPr>
                <w:rFonts w:eastAsia="Times New Roman" w:cs="Times New Roman"/>
                <w:sz w:val="18"/>
                <w:szCs w:val="18"/>
              </w:rPr>
              <w:t>a</w:t>
            </w:r>
            <w:r w:rsidR="00322A5F" w:rsidRPr="00322A5F">
              <w:rPr>
                <w:rFonts w:eastAsia="Times New Roman" w:cs="Times New Roman"/>
                <w:sz w:val="18"/>
                <w:szCs w:val="18"/>
              </w:rPr>
              <w:t>. Table presents multiply imputed (m = 20) data, N = 132</w:t>
            </w:r>
          </w:p>
          <w:p w14:paraId="7AD93A1A" w14:textId="60F29757" w:rsidR="00322A5F" w:rsidRPr="009974E0" w:rsidRDefault="00322A5F" w:rsidP="00322A5F">
            <w:pPr>
              <w:spacing w:line="240" w:lineRule="auto"/>
              <w:rPr>
                <w:rFonts w:eastAsia="Times New Roman" w:cs="Times New Roman"/>
                <w:sz w:val="18"/>
                <w:szCs w:val="20"/>
              </w:rPr>
            </w:pPr>
          </w:p>
        </w:tc>
      </w:tr>
    </w:tbl>
    <w:p w14:paraId="4ACDBE78" w14:textId="07EAF9B5" w:rsidR="00D35E8E" w:rsidRDefault="00D35E8E" w:rsidP="00322A5F">
      <w:pPr>
        <w:rPr>
          <w:rFonts w:cs="Times New Roman"/>
          <w:szCs w:val="24"/>
        </w:rPr>
      </w:pPr>
    </w:p>
    <w:p w14:paraId="6D37920D" w14:textId="77777777" w:rsidR="00D35E8E" w:rsidRDefault="00D35E8E" w:rsidP="00535B46">
      <w:pPr>
        <w:spacing w:line="240" w:lineRule="auto"/>
        <w:rPr>
          <w:rFonts w:cs="Times New Roman"/>
          <w:szCs w:val="24"/>
        </w:rPr>
      </w:pPr>
    </w:p>
    <w:tbl>
      <w:tblPr>
        <w:tblpPr w:leftFromText="180" w:rightFromText="180" w:vertAnchor="text" w:horzAnchor="margin" w:tblpY="-259"/>
        <w:tblW w:w="8692" w:type="dxa"/>
        <w:tblLook w:val="04A0" w:firstRow="1" w:lastRow="0" w:firstColumn="1" w:lastColumn="0" w:noHBand="0" w:noVBand="1"/>
      </w:tblPr>
      <w:tblGrid>
        <w:gridCol w:w="4886"/>
        <w:gridCol w:w="666"/>
        <w:gridCol w:w="908"/>
        <w:gridCol w:w="442"/>
        <w:gridCol w:w="860"/>
        <w:gridCol w:w="406"/>
        <w:gridCol w:w="766"/>
      </w:tblGrid>
      <w:tr w:rsidR="00322A5F" w:rsidRPr="0063044E" w14:paraId="4760725B" w14:textId="77777777" w:rsidTr="001918F2">
        <w:trPr>
          <w:trHeight w:val="300"/>
        </w:trPr>
        <w:tc>
          <w:tcPr>
            <w:tcW w:w="8692" w:type="dxa"/>
            <w:gridSpan w:val="7"/>
            <w:tcBorders>
              <w:top w:val="nil"/>
              <w:left w:val="nil"/>
              <w:bottom w:val="single" w:sz="4" w:space="0" w:color="auto"/>
              <w:right w:val="nil"/>
            </w:tcBorders>
            <w:shd w:val="clear" w:color="auto" w:fill="FFFFFF" w:themeFill="background1"/>
            <w:noWrap/>
            <w:vAlign w:val="bottom"/>
            <w:hideMark/>
          </w:tcPr>
          <w:p w14:paraId="06A37231" w14:textId="5760C79B" w:rsidR="00322A5F" w:rsidRPr="009541A0" w:rsidRDefault="00322A5F" w:rsidP="001918F2">
            <w:pPr>
              <w:spacing w:line="240" w:lineRule="auto"/>
              <w:rPr>
                <w:rFonts w:eastAsia="Times New Roman" w:cs="Times New Roman"/>
                <w:b/>
                <w:bCs/>
                <w:szCs w:val="24"/>
                <w:vertAlign w:val="superscript"/>
              </w:rPr>
            </w:pPr>
            <w:r w:rsidRPr="009974E0">
              <w:rPr>
                <w:rFonts w:eastAsia="Times New Roman" w:cs="Times New Roman"/>
                <w:b/>
                <w:bCs/>
                <w:szCs w:val="24"/>
              </w:rPr>
              <w:t xml:space="preserve">Table </w:t>
            </w:r>
            <w:r w:rsidR="00303F56">
              <w:rPr>
                <w:rFonts w:eastAsia="Times New Roman" w:cs="Times New Roman"/>
                <w:b/>
                <w:bCs/>
                <w:szCs w:val="24"/>
              </w:rPr>
              <w:t>5</w:t>
            </w:r>
            <w:r w:rsidRPr="009974E0">
              <w:rPr>
                <w:rFonts w:eastAsia="Times New Roman" w:cs="Times New Roman"/>
                <w:b/>
                <w:bCs/>
                <w:szCs w:val="24"/>
              </w:rPr>
              <w:t xml:space="preserve">. Logistic Regression Models of Biological Child </w:t>
            </w:r>
            <w:proofErr w:type="spellStart"/>
            <w:r w:rsidRPr="009974E0">
              <w:rPr>
                <w:rFonts w:eastAsia="Times New Roman" w:cs="Times New Roman"/>
                <w:b/>
                <w:bCs/>
                <w:szCs w:val="24"/>
              </w:rPr>
              <w:t>Visitation</w:t>
            </w:r>
            <w:r w:rsidR="009541A0">
              <w:rPr>
                <w:rFonts w:eastAsia="Times New Roman" w:cs="Times New Roman"/>
                <w:b/>
                <w:bCs/>
                <w:szCs w:val="24"/>
                <w:vertAlign w:val="superscript"/>
              </w:rPr>
              <w:t>a</w:t>
            </w:r>
            <w:proofErr w:type="spellEnd"/>
          </w:p>
        </w:tc>
      </w:tr>
      <w:tr w:rsidR="00322A5F" w:rsidRPr="0063044E" w14:paraId="7D767A61" w14:textId="77777777" w:rsidTr="001918F2">
        <w:trPr>
          <w:trHeight w:val="300"/>
        </w:trPr>
        <w:tc>
          <w:tcPr>
            <w:tcW w:w="4886" w:type="dxa"/>
            <w:tcBorders>
              <w:top w:val="single" w:sz="4" w:space="0" w:color="auto"/>
              <w:left w:val="nil"/>
              <w:bottom w:val="nil"/>
              <w:right w:val="nil"/>
            </w:tcBorders>
            <w:shd w:val="clear" w:color="auto" w:fill="FFFFFF" w:themeFill="background1"/>
            <w:noWrap/>
            <w:vAlign w:val="bottom"/>
            <w:hideMark/>
          </w:tcPr>
          <w:p w14:paraId="5A0FDB82"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1332" w:type="dxa"/>
            <w:gridSpan w:val="2"/>
            <w:tcBorders>
              <w:top w:val="single" w:sz="4" w:space="0" w:color="auto"/>
              <w:left w:val="nil"/>
              <w:bottom w:val="nil"/>
              <w:right w:val="nil"/>
            </w:tcBorders>
            <w:shd w:val="clear" w:color="auto" w:fill="FFFFFF" w:themeFill="background1"/>
            <w:noWrap/>
            <w:vAlign w:val="bottom"/>
            <w:hideMark/>
          </w:tcPr>
          <w:p w14:paraId="2D64EAE3" w14:textId="77777777" w:rsidR="00322A5F" w:rsidRPr="009974E0" w:rsidRDefault="00322A5F" w:rsidP="001918F2">
            <w:pPr>
              <w:spacing w:line="240" w:lineRule="auto"/>
              <w:jc w:val="center"/>
              <w:rPr>
                <w:rFonts w:eastAsia="Times New Roman" w:cs="Times New Roman"/>
                <w:sz w:val="20"/>
                <w:szCs w:val="20"/>
                <w:u w:val="single"/>
              </w:rPr>
            </w:pPr>
            <w:r w:rsidRPr="009974E0">
              <w:rPr>
                <w:rFonts w:eastAsia="Times New Roman" w:cs="Times New Roman"/>
                <w:sz w:val="20"/>
                <w:szCs w:val="20"/>
                <w:u w:val="single"/>
              </w:rPr>
              <w:t>Model 1</w:t>
            </w:r>
          </w:p>
        </w:tc>
        <w:tc>
          <w:tcPr>
            <w:tcW w:w="442" w:type="dxa"/>
            <w:tcBorders>
              <w:top w:val="single" w:sz="4" w:space="0" w:color="auto"/>
              <w:left w:val="nil"/>
              <w:bottom w:val="nil"/>
              <w:right w:val="nil"/>
            </w:tcBorders>
            <w:shd w:val="clear" w:color="auto" w:fill="FFFFFF" w:themeFill="background1"/>
            <w:noWrap/>
            <w:vAlign w:val="bottom"/>
            <w:hideMark/>
          </w:tcPr>
          <w:p w14:paraId="1393C615"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 </w:t>
            </w:r>
          </w:p>
        </w:tc>
        <w:tc>
          <w:tcPr>
            <w:tcW w:w="2032" w:type="dxa"/>
            <w:gridSpan w:val="3"/>
            <w:tcBorders>
              <w:top w:val="single" w:sz="4" w:space="0" w:color="auto"/>
              <w:left w:val="nil"/>
              <w:right w:val="nil"/>
            </w:tcBorders>
            <w:shd w:val="clear" w:color="auto" w:fill="FFFFFF" w:themeFill="background1"/>
            <w:noWrap/>
            <w:vAlign w:val="bottom"/>
            <w:hideMark/>
          </w:tcPr>
          <w:p w14:paraId="2722CF46"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u w:val="single"/>
              </w:rPr>
              <w:t>Model 2</w:t>
            </w:r>
          </w:p>
        </w:tc>
      </w:tr>
      <w:tr w:rsidR="00322A5F" w:rsidRPr="0063044E" w14:paraId="13EC9D4A" w14:textId="77777777" w:rsidTr="001918F2">
        <w:trPr>
          <w:trHeight w:val="255"/>
        </w:trPr>
        <w:tc>
          <w:tcPr>
            <w:tcW w:w="4886" w:type="dxa"/>
            <w:tcBorders>
              <w:top w:val="nil"/>
              <w:left w:val="nil"/>
              <w:bottom w:val="single" w:sz="4" w:space="0" w:color="auto"/>
              <w:right w:val="nil"/>
            </w:tcBorders>
            <w:shd w:val="clear" w:color="auto" w:fill="FFFFFF" w:themeFill="background1"/>
            <w:noWrap/>
            <w:vAlign w:val="bottom"/>
            <w:hideMark/>
          </w:tcPr>
          <w:p w14:paraId="4541E628" w14:textId="77777777" w:rsidR="00322A5F" w:rsidRPr="0063044E" w:rsidRDefault="00322A5F" w:rsidP="001918F2">
            <w:pPr>
              <w:spacing w:line="240" w:lineRule="auto"/>
              <w:jc w:val="center"/>
              <w:rPr>
                <w:rFonts w:eastAsia="Times New Roman" w:cs="Times New Roman"/>
                <w:sz w:val="20"/>
                <w:szCs w:val="20"/>
              </w:rPr>
            </w:pPr>
            <w:r w:rsidRPr="0063044E">
              <w:rPr>
                <w:rFonts w:eastAsia="Times New Roman" w:cs="Times New Roman"/>
                <w:sz w:val="20"/>
                <w:szCs w:val="20"/>
              </w:rPr>
              <w:t> </w:t>
            </w:r>
          </w:p>
        </w:tc>
        <w:tc>
          <w:tcPr>
            <w:tcW w:w="424" w:type="dxa"/>
            <w:tcBorders>
              <w:top w:val="nil"/>
              <w:left w:val="nil"/>
              <w:bottom w:val="single" w:sz="4" w:space="0" w:color="auto"/>
              <w:right w:val="nil"/>
            </w:tcBorders>
            <w:shd w:val="clear" w:color="auto" w:fill="FFFFFF" w:themeFill="background1"/>
            <w:noWrap/>
            <w:vAlign w:val="bottom"/>
            <w:hideMark/>
          </w:tcPr>
          <w:p w14:paraId="0C275D62" w14:textId="77777777" w:rsidR="00322A5F" w:rsidRPr="009974E0" w:rsidRDefault="00322A5F" w:rsidP="001918F2">
            <w:pPr>
              <w:spacing w:line="240" w:lineRule="auto"/>
              <w:jc w:val="center"/>
              <w:rPr>
                <w:rFonts w:eastAsia="Times New Roman" w:cs="Times New Roman"/>
                <w:i/>
                <w:iCs/>
                <w:sz w:val="20"/>
                <w:szCs w:val="20"/>
              </w:rPr>
            </w:pPr>
            <w:r w:rsidRPr="009974E0">
              <w:rPr>
                <w:rFonts w:eastAsia="Times New Roman" w:cs="Times New Roman"/>
                <w:i/>
                <w:iCs/>
                <w:sz w:val="20"/>
                <w:szCs w:val="20"/>
              </w:rPr>
              <w:t>B</w:t>
            </w:r>
          </w:p>
        </w:tc>
        <w:tc>
          <w:tcPr>
            <w:tcW w:w="908" w:type="dxa"/>
            <w:tcBorders>
              <w:top w:val="nil"/>
              <w:left w:val="nil"/>
              <w:bottom w:val="single" w:sz="4" w:space="0" w:color="auto"/>
              <w:right w:val="nil"/>
            </w:tcBorders>
            <w:shd w:val="clear" w:color="auto" w:fill="FFFFFF" w:themeFill="background1"/>
            <w:noWrap/>
            <w:vAlign w:val="bottom"/>
            <w:hideMark/>
          </w:tcPr>
          <w:p w14:paraId="5D362BB4"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SE</w:t>
            </w:r>
          </w:p>
        </w:tc>
        <w:tc>
          <w:tcPr>
            <w:tcW w:w="442" w:type="dxa"/>
            <w:tcBorders>
              <w:top w:val="nil"/>
              <w:left w:val="nil"/>
              <w:bottom w:val="single" w:sz="4" w:space="0" w:color="auto"/>
              <w:right w:val="nil"/>
            </w:tcBorders>
            <w:shd w:val="clear" w:color="auto" w:fill="FFFFFF" w:themeFill="background1"/>
            <w:noWrap/>
            <w:vAlign w:val="bottom"/>
            <w:hideMark/>
          </w:tcPr>
          <w:p w14:paraId="02376D97"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single" w:sz="4" w:space="0" w:color="auto"/>
              <w:right w:val="nil"/>
            </w:tcBorders>
            <w:shd w:val="clear" w:color="auto" w:fill="FFFFFF" w:themeFill="background1"/>
            <w:noWrap/>
            <w:vAlign w:val="bottom"/>
            <w:hideMark/>
          </w:tcPr>
          <w:p w14:paraId="2373DB20" w14:textId="77777777" w:rsidR="00322A5F" w:rsidRPr="009974E0" w:rsidRDefault="00322A5F" w:rsidP="001918F2">
            <w:pPr>
              <w:spacing w:line="240" w:lineRule="auto"/>
              <w:jc w:val="center"/>
              <w:rPr>
                <w:rFonts w:eastAsia="Times New Roman" w:cs="Times New Roman"/>
                <w:i/>
                <w:iCs/>
                <w:sz w:val="20"/>
                <w:szCs w:val="20"/>
              </w:rPr>
            </w:pPr>
            <w:r w:rsidRPr="009974E0">
              <w:rPr>
                <w:rFonts w:eastAsia="Times New Roman" w:cs="Times New Roman"/>
                <w:i/>
                <w:iCs/>
                <w:sz w:val="20"/>
                <w:szCs w:val="20"/>
              </w:rPr>
              <w:t>B</w:t>
            </w:r>
          </w:p>
        </w:tc>
        <w:tc>
          <w:tcPr>
            <w:tcW w:w="406" w:type="dxa"/>
            <w:tcBorders>
              <w:top w:val="nil"/>
              <w:left w:val="nil"/>
              <w:bottom w:val="single" w:sz="4" w:space="0" w:color="auto"/>
              <w:right w:val="nil"/>
            </w:tcBorders>
            <w:shd w:val="clear" w:color="auto" w:fill="FFFFFF" w:themeFill="background1"/>
            <w:noWrap/>
            <w:vAlign w:val="bottom"/>
            <w:hideMark/>
          </w:tcPr>
          <w:p w14:paraId="2EAA26FB"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xml:space="preserve"> </w:t>
            </w:r>
          </w:p>
        </w:tc>
        <w:tc>
          <w:tcPr>
            <w:tcW w:w="766" w:type="dxa"/>
            <w:tcBorders>
              <w:top w:val="nil"/>
              <w:left w:val="nil"/>
              <w:bottom w:val="single" w:sz="4" w:space="0" w:color="auto"/>
              <w:right w:val="nil"/>
            </w:tcBorders>
            <w:shd w:val="clear" w:color="auto" w:fill="FFFFFF" w:themeFill="background1"/>
            <w:noWrap/>
            <w:vAlign w:val="bottom"/>
            <w:hideMark/>
          </w:tcPr>
          <w:p w14:paraId="50A6392F"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SE </w:t>
            </w:r>
          </w:p>
        </w:tc>
      </w:tr>
      <w:tr w:rsidR="00322A5F" w:rsidRPr="0063044E" w14:paraId="531D12E0"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775AD1DB"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Pseudo-Family Mother</w:t>
            </w:r>
          </w:p>
        </w:tc>
        <w:tc>
          <w:tcPr>
            <w:tcW w:w="424" w:type="dxa"/>
            <w:tcBorders>
              <w:top w:val="nil"/>
              <w:left w:val="nil"/>
              <w:bottom w:val="nil"/>
              <w:right w:val="nil"/>
            </w:tcBorders>
            <w:shd w:val="clear" w:color="auto" w:fill="FFFFFF" w:themeFill="background1"/>
            <w:noWrap/>
            <w:vAlign w:val="bottom"/>
            <w:hideMark/>
          </w:tcPr>
          <w:p w14:paraId="7231C4AD"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0.276</w:t>
            </w:r>
          </w:p>
        </w:tc>
        <w:tc>
          <w:tcPr>
            <w:tcW w:w="908" w:type="dxa"/>
            <w:tcBorders>
              <w:top w:val="nil"/>
              <w:left w:val="nil"/>
              <w:bottom w:val="nil"/>
              <w:right w:val="nil"/>
            </w:tcBorders>
            <w:shd w:val="clear" w:color="auto" w:fill="FFFFFF" w:themeFill="background1"/>
            <w:noWrap/>
            <w:vAlign w:val="bottom"/>
            <w:hideMark/>
          </w:tcPr>
          <w:p w14:paraId="7A532671"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0.500</w:t>
            </w:r>
          </w:p>
        </w:tc>
        <w:tc>
          <w:tcPr>
            <w:tcW w:w="442" w:type="dxa"/>
            <w:tcBorders>
              <w:top w:val="single" w:sz="4" w:space="0" w:color="auto"/>
              <w:left w:val="nil"/>
              <w:bottom w:val="nil"/>
              <w:right w:val="nil"/>
            </w:tcBorders>
            <w:shd w:val="clear" w:color="auto" w:fill="FFFFFF" w:themeFill="background1"/>
            <w:noWrap/>
            <w:vAlign w:val="bottom"/>
            <w:hideMark/>
          </w:tcPr>
          <w:p w14:paraId="62F6B828"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 </w:t>
            </w:r>
          </w:p>
        </w:tc>
        <w:tc>
          <w:tcPr>
            <w:tcW w:w="860" w:type="dxa"/>
            <w:tcBorders>
              <w:top w:val="single" w:sz="4" w:space="0" w:color="auto"/>
              <w:left w:val="nil"/>
              <w:bottom w:val="nil"/>
              <w:right w:val="nil"/>
            </w:tcBorders>
            <w:shd w:val="clear" w:color="auto" w:fill="FFFFFF" w:themeFill="background1"/>
            <w:noWrap/>
            <w:vAlign w:val="bottom"/>
            <w:hideMark/>
          </w:tcPr>
          <w:p w14:paraId="2E03C128"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0.082</w:t>
            </w:r>
          </w:p>
        </w:tc>
        <w:tc>
          <w:tcPr>
            <w:tcW w:w="406" w:type="dxa"/>
            <w:tcBorders>
              <w:top w:val="single" w:sz="4" w:space="0" w:color="auto"/>
              <w:left w:val="nil"/>
              <w:bottom w:val="nil"/>
              <w:right w:val="nil"/>
            </w:tcBorders>
            <w:shd w:val="clear" w:color="auto" w:fill="FFFFFF" w:themeFill="background1"/>
            <w:noWrap/>
            <w:vAlign w:val="bottom"/>
            <w:hideMark/>
          </w:tcPr>
          <w:p w14:paraId="6115E136"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 </w:t>
            </w:r>
          </w:p>
        </w:tc>
        <w:tc>
          <w:tcPr>
            <w:tcW w:w="766" w:type="dxa"/>
            <w:tcBorders>
              <w:top w:val="single" w:sz="4" w:space="0" w:color="auto"/>
              <w:left w:val="nil"/>
              <w:bottom w:val="nil"/>
              <w:right w:val="nil"/>
            </w:tcBorders>
            <w:shd w:val="clear" w:color="auto" w:fill="FFFFFF" w:themeFill="background1"/>
            <w:noWrap/>
            <w:vAlign w:val="bottom"/>
            <w:hideMark/>
          </w:tcPr>
          <w:p w14:paraId="1F6DD1F9"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0.105</w:t>
            </w:r>
          </w:p>
        </w:tc>
      </w:tr>
      <w:tr w:rsidR="00322A5F" w:rsidRPr="0063044E" w14:paraId="6F019526"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1D69F7EA"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Age</w:t>
            </w:r>
          </w:p>
        </w:tc>
        <w:tc>
          <w:tcPr>
            <w:tcW w:w="424" w:type="dxa"/>
            <w:tcBorders>
              <w:top w:val="nil"/>
              <w:left w:val="nil"/>
              <w:bottom w:val="nil"/>
              <w:right w:val="nil"/>
            </w:tcBorders>
            <w:shd w:val="clear" w:color="auto" w:fill="FFFFFF" w:themeFill="background1"/>
            <w:noWrap/>
            <w:vAlign w:val="bottom"/>
            <w:hideMark/>
          </w:tcPr>
          <w:p w14:paraId="05588C00"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30FF941F"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57E244F9"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1E7CEAE3"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0.0005</w:t>
            </w:r>
          </w:p>
        </w:tc>
        <w:tc>
          <w:tcPr>
            <w:tcW w:w="406" w:type="dxa"/>
            <w:tcBorders>
              <w:top w:val="nil"/>
              <w:left w:val="nil"/>
              <w:bottom w:val="nil"/>
              <w:right w:val="nil"/>
            </w:tcBorders>
            <w:shd w:val="clear" w:color="auto" w:fill="FFFFFF" w:themeFill="background1"/>
            <w:noWrap/>
            <w:vAlign w:val="bottom"/>
            <w:hideMark/>
          </w:tcPr>
          <w:p w14:paraId="394BC58E"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 </w:t>
            </w:r>
          </w:p>
        </w:tc>
        <w:tc>
          <w:tcPr>
            <w:tcW w:w="766" w:type="dxa"/>
            <w:tcBorders>
              <w:top w:val="nil"/>
              <w:left w:val="nil"/>
              <w:bottom w:val="nil"/>
              <w:right w:val="nil"/>
            </w:tcBorders>
            <w:shd w:val="clear" w:color="auto" w:fill="FFFFFF" w:themeFill="background1"/>
            <w:noWrap/>
            <w:vAlign w:val="bottom"/>
            <w:hideMark/>
          </w:tcPr>
          <w:p w14:paraId="2AE6B02E"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0.0042</w:t>
            </w:r>
          </w:p>
        </w:tc>
      </w:tr>
      <w:tr w:rsidR="00322A5F" w:rsidRPr="0063044E" w14:paraId="26C24612"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2AC3B4BD"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White</w:t>
            </w:r>
          </w:p>
        </w:tc>
        <w:tc>
          <w:tcPr>
            <w:tcW w:w="424" w:type="dxa"/>
            <w:tcBorders>
              <w:top w:val="nil"/>
              <w:left w:val="nil"/>
              <w:bottom w:val="nil"/>
              <w:right w:val="nil"/>
            </w:tcBorders>
            <w:shd w:val="clear" w:color="auto" w:fill="FFFFFF" w:themeFill="background1"/>
            <w:noWrap/>
            <w:vAlign w:val="bottom"/>
            <w:hideMark/>
          </w:tcPr>
          <w:p w14:paraId="30F979B9"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6DBF777C"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6557C29C"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72D1D088"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0.044</w:t>
            </w:r>
          </w:p>
        </w:tc>
        <w:tc>
          <w:tcPr>
            <w:tcW w:w="406" w:type="dxa"/>
            <w:tcBorders>
              <w:top w:val="nil"/>
              <w:left w:val="nil"/>
              <w:bottom w:val="nil"/>
              <w:right w:val="nil"/>
            </w:tcBorders>
            <w:shd w:val="clear" w:color="auto" w:fill="FFFFFF" w:themeFill="background1"/>
            <w:noWrap/>
            <w:vAlign w:val="bottom"/>
            <w:hideMark/>
          </w:tcPr>
          <w:p w14:paraId="7639E6E4" w14:textId="77777777" w:rsidR="00322A5F" w:rsidRPr="009974E0" w:rsidRDefault="00322A5F" w:rsidP="001918F2">
            <w:pPr>
              <w:spacing w:line="240" w:lineRule="auto"/>
              <w:jc w:val="center"/>
              <w:rPr>
                <w:rFonts w:eastAsia="Times New Roman" w:cs="Times New Roman"/>
                <w:sz w:val="20"/>
                <w:szCs w:val="20"/>
              </w:rPr>
            </w:pPr>
          </w:p>
        </w:tc>
        <w:tc>
          <w:tcPr>
            <w:tcW w:w="766" w:type="dxa"/>
            <w:tcBorders>
              <w:top w:val="nil"/>
              <w:left w:val="nil"/>
              <w:bottom w:val="nil"/>
              <w:right w:val="nil"/>
            </w:tcBorders>
            <w:shd w:val="clear" w:color="auto" w:fill="FFFFFF" w:themeFill="background1"/>
            <w:noWrap/>
            <w:vAlign w:val="bottom"/>
            <w:hideMark/>
          </w:tcPr>
          <w:p w14:paraId="265BB1D7"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0.096</w:t>
            </w:r>
          </w:p>
        </w:tc>
      </w:tr>
      <w:tr w:rsidR="00322A5F" w:rsidRPr="0063044E" w14:paraId="060CA5BF"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0606E687"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Education</w:t>
            </w:r>
          </w:p>
        </w:tc>
        <w:tc>
          <w:tcPr>
            <w:tcW w:w="424" w:type="dxa"/>
            <w:tcBorders>
              <w:top w:val="nil"/>
              <w:left w:val="nil"/>
              <w:bottom w:val="nil"/>
              <w:right w:val="nil"/>
            </w:tcBorders>
            <w:shd w:val="clear" w:color="auto" w:fill="FFFFFF" w:themeFill="background1"/>
            <w:noWrap/>
            <w:vAlign w:val="bottom"/>
            <w:hideMark/>
          </w:tcPr>
          <w:p w14:paraId="51C66F2E"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44A42302"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67DFE1C2"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12E4CE1C"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-0.021</w:t>
            </w:r>
          </w:p>
        </w:tc>
        <w:tc>
          <w:tcPr>
            <w:tcW w:w="406" w:type="dxa"/>
            <w:tcBorders>
              <w:top w:val="nil"/>
              <w:left w:val="nil"/>
              <w:bottom w:val="nil"/>
              <w:right w:val="nil"/>
            </w:tcBorders>
            <w:shd w:val="clear" w:color="auto" w:fill="FFFFFF" w:themeFill="background1"/>
            <w:noWrap/>
            <w:vAlign w:val="bottom"/>
            <w:hideMark/>
          </w:tcPr>
          <w:p w14:paraId="6EC3BA99" w14:textId="77777777" w:rsidR="00322A5F" w:rsidRPr="009974E0" w:rsidRDefault="00322A5F" w:rsidP="001918F2">
            <w:pPr>
              <w:spacing w:line="240" w:lineRule="auto"/>
              <w:jc w:val="center"/>
              <w:rPr>
                <w:rFonts w:eastAsia="Times New Roman" w:cs="Times New Roman"/>
                <w:sz w:val="20"/>
                <w:szCs w:val="20"/>
              </w:rPr>
            </w:pPr>
          </w:p>
        </w:tc>
        <w:tc>
          <w:tcPr>
            <w:tcW w:w="766" w:type="dxa"/>
            <w:tcBorders>
              <w:top w:val="nil"/>
              <w:left w:val="nil"/>
              <w:bottom w:val="nil"/>
              <w:right w:val="nil"/>
            </w:tcBorders>
            <w:shd w:val="clear" w:color="auto" w:fill="FFFFFF" w:themeFill="background1"/>
            <w:noWrap/>
            <w:vAlign w:val="bottom"/>
            <w:hideMark/>
          </w:tcPr>
          <w:p w14:paraId="65DA62C9"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0.024</w:t>
            </w:r>
          </w:p>
        </w:tc>
      </w:tr>
      <w:tr w:rsidR="00322A5F" w:rsidRPr="0063044E" w14:paraId="05CAF5D7"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2E3F3301"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Time in DOC</w:t>
            </w:r>
          </w:p>
        </w:tc>
        <w:tc>
          <w:tcPr>
            <w:tcW w:w="424" w:type="dxa"/>
            <w:tcBorders>
              <w:top w:val="nil"/>
              <w:left w:val="nil"/>
              <w:bottom w:val="nil"/>
              <w:right w:val="nil"/>
            </w:tcBorders>
            <w:shd w:val="clear" w:color="auto" w:fill="FFFFFF" w:themeFill="background1"/>
            <w:noWrap/>
            <w:vAlign w:val="bottom"/>
            <w:hideMark/>
          </w:tcPr>
          <w:p w14:paraId="4994840E"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619AECFE"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0F82B94C"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250B571A"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-0.014</w:t>
            </w:r>
          </w:p>
        </w:tc>
        <w:tc>
          <w:tcPr>
            <w:tcW w:w="406" w:type="dxa"/>
            <w:tcBorders>
              <w:top w:val="nil"/>
              <w:left w:val="nil"/>
              <w:bottom w:val="nil"/>
              <w:right w:val="nil"/>
            </w:tcBorders>
            <w:shd w:val="clear" w:color="auto" w:fill="FFFFFF" w:themeFill="background1"/>
            <w:noWrap/>
            <w:vAlign w:val="bottom"/>
            <w:hideMark/>
          </w:tcPr>
          <w:p w14:paraId="3F1946A7"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w:t>
            </w:r>
          </w:p>
        </w:tc>
        <w:tc>
          <w:tcPr>
            <w:tcW w:w="766" w:type="dxa"/>
            <w:tcBorders>
              <w:top w:val="nil"/>
              <w:left w:val="nil"/>
              <w:bottom w:val="nil"/>
              <w:right w:val="nil"/>
            </w:tcBorders>
            <w:shd w:val="clear" w:color="auto" w:fill="FFFFFF" w:themeFill="background1"/>
            <w:noWrap/>
            <w:vAlign w:val="bottom"/>
            <w:hideMark/>
          </w:tcPr>
          <w:p w14:paraId="47B85613"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0.007</w:t>
            </w:r>
          </w:p>
        </w:tc>
      </w:tr>
      <w:tr w:rsidR="00322A5F" w:rsidRPr="0063044E" w14:paraId="7A87862A"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5645F1E6"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General Population</w:t>
            </w:r>
          </w:p>
        </w:tc>
        <w:tc>
          <w:tcPr>
            <w:tcW w:w="424" w:type="dxa"/>
            <w:tcBorders>
              <w:top w:val="nil"/>
              <w:left w:val="nil"/>
              <w:bottom w:val="nil"/>
              <w:right w:val="nil"/>
            </w:tcBorders>
            <w:shd w:val="clear" w:color="auto" w:fill="FFFFFF" w:themeFill="background1"/>
            <w:noWrap/>
            <w:vAlign w:val="bottom"/>
            <w:hideMark/>
          </w:tcPr>
          <w:p w14:paraId="545DF89E"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3417AD1A"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0B5880E9"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5D56228A"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-0.015</w:t>
            </w:r>
          </w:p>
        </w:tc>
        <w:tc>
          <w:tcPr>
            <w:tcW w:w="406" w:type="dxa"/>
            <w:tcBorders>
              <w:top w:val="nil"/>
              <w:left w:val="nil"/>
              <w:bottom w:val="nil"/>
              <w:right w:val="nil"/>
            </w:tcBorders>
            <w:shd w:val="clear" w:color="auto" w:fill="FFFFFF" w:themeFill="background1"/>
            <w:noWrap/>
            <w:vAlign w:val="bottom"/>
            <w:hideMark/>
          </w:tcPr>
          <w:p w14:paraId="4C77F54E" w14:textId="77777777" w:rsidR="00322A5F" w:rsidRPr="009974E0" w:rsidRDefault="00322A5F" w:rsidP="001918F2">
            <w:pPr>
              <w:spacing w:line="240" w:lineRule="auto"/>
              <w:jc w:val="center"/>
              <w:rPr>
                <w:rFonts w:eastAsia="Times New Roman" w:cs="Times New Roman"/>
                <w:sz w:val="20"/>
                <w:szCs w:val="20"/>
              </w:rPr>
            </w:pPr>
          </w:p>
        </w:tc>
        <w:tc>
          <w:tcPr>
            <w:tcW w:w="766" w:type="dxa"/>
            <w:tcBorders>
              <w:top w:val="nil"/>
              <w:left w:val="nil"/>
              <w:bottom w:val="nil"/>
              <w:right w:val="nil"/>
            </w:tcBorders>
            <w:shd w:val="clear" w:color="auto" w:fill="FFFFFF" w:themeFill="background1"/>
            <w:noWrap/>
            <w:vAlign w:val="bottom"/>
            <w:hideMark/>
          </w:tcPr>
          <w:p w14:paraId="310A7DC4"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0.079</w:t>
            </w:r>
          </w:p>
        </w:tc>
      </w:tr>
      <w:tr w:rsidR="00322A5F" w:rsidRPr="0063044E" w14:paraId="2B5BD923"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3C3301C7"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Number of Children</w:t>
            </w:r>
          </w:p>
        </w:tc>
        <w:tc>
          <w:tcPr>
            <w:tcW w:w="424" w:type="dxa"/>
            <w:tcBorders>
              <w:top w:val="nil"/>
              <w:left w:val="nil"/>
              <w:bottom w:val="nil"/>
              <w:right w:val="nil"/>
            </w:tcBorders>
            <w:shd w:val="clear" w:color="auto" w:fill="FFFFFF" w:themeFill="background1"/>
            <w:noWrap/>
            <w:vAlign w:val="bottom"/>
            <w:hideMark/>
          </w:tcPr>
          <w:p w14:paraId="0BD80756"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799E3220"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44F5E531"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28667479"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0.006</w:t>
            </w:r>
          </w:p>
        </w:tc>
        <w:tc>
          <w:tcPr>
            <w:tcW w:w="406" w:type="dxa"/>
            <w:tcBorders>
              <w:top w:val="nil"/>
              <w:left w:val="nil"/>
              <w:bottom w:val="nil"/>
              <w:right w:val="nil"/>
            </w:tcBorders>
            <w:shd w:val="clear" w:color="auto" w:fill="FFFFFF" w:themeFill="background1"/>
            <w:noWrap/>
            <w:vAlign w:val="bottom"/>
            <w:hideMark/>
          </w:tcPr>
          <w:p w14:paraId="7D8F2078" w14:textId="77777777" w:rsidR="00322A5F" w:rsidRPr="009974E0" w:rsidRDefault="00322A5F" w:rsidP="001918F2">
            <w:pPr>
              <w:spacing w:line="240" w:lineRule="auto"/>
              <w:jc w:val="center"/>
              <w:rPr>
                <w:rFonts w:eastAsia="Times New Roman" w:cs="Times New Roman"/>
                <w:sz w:val="20"/>
                <w:szCs w:val="20"/>
              </w:rPr>
            </w:pPr>
          </w:p>
        </w:tc>
        <w:tc>
          <w:tcPr>
            <w:tcW w:w="766" w:type="dxa"/>
            <w:tcBorders>
              <w:top w:val="nil"/>
              <w:left w:val="nil"/>
              <w:bottom w:val="nil"/>
              <w:right w:val="nil"/>
            </w:tcBorders>
            <w:shd w:val="clear" w:color="auto" w:fill="FFFFFF" w:themeFill="background1"/>
            <w:noWrap/>
            <w:vAlign w:val="bottom"/>
            <w:hideMark/>
          </w:tcPr>
          <w:p w14:paraId="76DD859D"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0.026</w:t>
            </w:r>
          </w:p>
        </w:tc>
      </w:tr>
      <w:tr w:rsidR="00322A5F" w:rsidRPr="0063044E" w14:paraId="30C64761" w14:textId="77777777" w:rsidTr="001918F2">
        <w:trPr>
          <w:trHeight w:val="255"/>
        </w:trPr>
        <w:tc>
          <w:tcPr>
            <w:tcW w:w="5310" w:type="dxa"/>
            <w:gridSpan w:val="2"/>
            <w:tcBorders>
              <w:top w:val="nil"/>
              <w:left w:val="nil"/>
              <w:bottom w:val="nil"/>
              <w:right w:val="nil"/>
            </w:tcBorders>
            <w:shd w:val="clear" w:color="auto" w:fill="FFFFFF" w:themeFill="background1"/>
            <w:noWrap/>
            <w:vAlign w:val="bottom"/>
            <w:hideMark/>
          </w:tcPr>
          <w:p w14:paraId="7DA5EC5A"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Offense Type (Reference = Drug Offense)</w:t>
            </w:r>
          </w:p>
        </w:tc>
        <w:tc>
          <w:tcPr>
            <w:tcW w:w="908" w:type="dxa"/>
            <w:tcBorders>
              <w:top w:val="nil"/>
              <w:left w:val="nil"/>
              <w:bottom w:val="nil"/>
              <w:right w:val="nil"/>
            </w:tcBorders>
            <w:shd w:val="clear" w:color="auto" w:fill="FFFFFF" w:themeFill="background1"/>
            <w:noWrap/>
            <w:vAlign w:val="bottom"/>
            <w:hideMark/>
          </w:tcPr>
          <w:p w14:paraId="61693453"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1C094945"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2B4C8BDF"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06" w:type="dxa"/>
            <w:tcBorders>
              <w:top w:val="nil"/>
              <w:left w:val="nil"/>
              <w:bottom w:val="nil"/>
              <w:right w:val="nil"/>
            </w:tcBorders>
            <w:shd w:val="clear" w:color="auto" w:fill="FFFFFF" w:themeFill="background1"/>
            <w:noWrap/>
            <w:vAlign w:val="bottom"/>
            <w:hideMark/>
          </w:tcPr>
          <w:p w14:paraId="329EBF82" w14:textId="77777777" w:rsidR="00322A5F" w:rsidRPr="009974E0" w:rsidRDefault="00322A5F" w:rsidP="001918F2">
            <w:pPr>
              <w:spacing w:line="240" w:lineRule="auto"/>
              <w:jc w:val="center"/>
              <w:rPr>
                <w:rFonts w:eastAsia="Times New Roman" w:cs="Times New Roman"/>
                <w:sz w:val="20"/>
                <w:szCs w:val="20"/>
              </w:rPr>
            </w:pPr>
          </w:p>
        </w:tc>
        <w:tc>
          <w:tcPr>
            <w:tcW w:w="766" w:type="dxa"/>
            <w:tcBorders>
              <w:top w:val="nil"/>
              <w:left w:val="nil"/>
              <w:bottom w:val="nil"/>
              <w:right w:val="nil"/>
            </w:tcBorders>
            <w:shd w:val="clear" w:color="auto" w:fill="FFFFFF" w:themeFill="background1"/>
            <w:noWrap/>
            <w:vAlign w:val="bottom"/>
            <w:hideMark/>
          </w:tcPr>
          <w:p w14:paraId="0F259B5F"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 </w:t>
            </w:r>
          </w:p>
        </w:tc>
      </w:tr>
      <w:tr w:rsidR="00322A5F" w:rsidRPr="0063044E" w14:paraId="117762E6"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41AD3319"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Violent</w:t>
            </w:r>
          </w:p>
        </w:tc>
        <w:tc>
          <w:tcPr>
            <w:tcW w:w="424" w:type="dxa"/>
            <w:tcBorders>
              <w:top w:val="nil"/>
              <w:left w:val="nil"/>
              <w:bottom w:val="nil"/>
              <w:right w:val="nil"/>
            </w:tcBorders>
            <w:shd w:val="clear" w:color="auto" w:fill="FFFFFF" w:themeFill="background1"/>
            <w:noWrap/>
            <w:vAlign w:val="bottom"/>
            <w:hideMark/>
          </w:tcPr>
          <w:p w14:paraId="2C8E1E46"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632C3540"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3203BF94"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54D956BF"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0.214</w:t>
            </w:r>
          </w:p>
        </w:tc>
        <w:tc>
          <w:tcPr>
            <w:tcW w:w="406" w:type="dxa"/>
            <w:tcBorders>
              <w:top w:val="nil"/>
              <w:left w:val="nil"/>
              <w:bottom w:val="nil"/>
              <w:right w:val="nil"/>
            </w:tcBorders>
            <w:shd w:val="clear" w:color="auto" w:fill="FFFFFF" w:themeFill="background1"/>
            <w:noWrap/>
            <w:vAlign w:val="bottom"/>
            <w:hideMark/>
          </w:tcPr>
          <w:p w14:paraId="30E1D041"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w:t>
            </w:r>
          </w:p>
        </w:tc>
        <w:tc>
          <w:tcPr>
            <w:tcW w:w="766" w:type="dxa"/>
            <w:tcBorders>
              <w:top w:val="nil"/>
              <w:left w:val="nil"/>
              <w:bottom w:val="nil"/>
              <w:right w:val="nil"/>
            </w:tcBorders>
            <w:shd w:val="clear" w:color="auto" w:fill="FFFFFF" w:themeFill="background1"/>
            <w:noWrap/>
            <w:vAlign w:val="bottom"/>
            <w:hideMark/>
          </w:tcPr>
          <w:p w14:paraId="61FF128C"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0.102</w:t>
            </w:r>
          </w:p>
        </w:tc>
      </w:tr>
      <w:tr w:rsidR="00322A5F" w:rsidRPr="0063044E" w14:paraId="0F919FAE"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2C19C375"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Property/Other</w:t>
            </w:r>
          </w:p>
        </w:tc>
        <w:tc>
          <w:tcPr>
            <w:tcW w:w="424" w:type="dxa"/>
            <w:tcBorders>
              <w:top w:val="nil"/>
              <w:left w:val="nil"/>
              <w:bottom w:val="nil"/>
              <w:right w:val="nil"/>
            </w:tcBorders>
            <w:shd w:val="clear" w:color="auto" w:fill="FFFFFF" w:themeFill="background1"/>
            <w:noWrap/>
            <w:vAlign w:val="bottom"/>
            <w:hideMark/>
          </w:tcPr>
          <w:p w14:paraId="736C384B"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19B87874"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54F1C07F"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5972B77B"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0.018</w:t>
            </w:r>
          </w:p>
        </w:tc>
        <w:tc>
          <w:tcPr>
            <w:tcW w:w="406" w:type="dxa"/>
            <w:tcBorders>
              <w:top w:val="nil"/>
              <w:left w:val="nil"/>
              <w:bottom w:val="nil"/>
              <w:right w:val="nil"/>
            </w:tcBorders>
            <w:shd w:val="clear" w:color="auto" w:fill="FFFFFF" w:themeFill="background1"/>
            <w:noWrap/>
            <w:vAlign w:val="bottom"/>
            <w:hideMark/>
          </w:tcPr>
          <w:p w14:paraId="20F5C061" w14:textId="77777777" w:rsidR="00322A5F" w:rsidRPr="009974E0" w:rsidRDefault="00322A5F" w:rsidP="001918F2">
            <w:pPr>
              <w:spacing w:line="240" w:lineRule="auto"/>
              <w:jc w:val="center"/>
              <w:rPr>
                <w:rFonts w:eastAsia="Times New Roman" w:cs="Times New Roman"/>
                <w:sz w:val="20"/>
                <w:szCs w:val="20"/>
              </w:rPr>
            </w:pPr>
          </w:p>
        </w:tc>
        <w:tc>
          <w:tcPr>
            <w:tcW w:w="766" w:type="dxa"/>
            <w:tcBorders>
              <w:top w:val="nil"/>
              <w:left w:val="nil"/>
              <w:bottom w:val="nil"/>
              <w:right w:val="nil"/>
            </w:tcBorders>
            <w:shd w:val="clear" w:color="auto" w:fill="FFFFFF" w:themeFill="background1"/>
            <w:noWrap/>
            <w:vAlign w:val="bottom"/>
            <w:hideMark/>
          </w:tcPr>
          <w:p w14:paraId="0EE202C9"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0.091</w:t>
            </w:r>
          </w:p>
        </w:tc>
      </w:tr>
      <w:tr w:rsidR="00322A5F" w:rsidRPr="0063044E" w14:paraId="1D2C148B"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60A794B3"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Instability Index</w:t>
            </w:r>
          </w:p>
        </w:tc>
        <w:tc>
          <w:tcPr>
            <w:tcW w:w="424" w:type="dxa"/>
            <w:tcBorders>
              <w:top w:val="nil"/>
              <w:left w:val="nil"/>
              <w:bottom w:val="nil"/>
              <w:right w:val="nil"/>
            </w:tcBorders>
            <w:shd w:val="clear" w:color="auto" w:fill="FFFFFF" w:themeFill="background1"/>
            <w:noWrap/>
            <w:vAlign w:val="bottom"/>
            <w:hideMark/>
          </w:tcPr>
          <w:p w14:paraId="1800839A"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66C565FD"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3DE679D8"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4DDD32A1"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-0.048</w:t>
            </w:r>
          </w:p>
        </w:tc>
        <w:tc>
          <w:tcPr>
            <w:tcW w:w="406" w:type="dxa"/>
            <w:tcBorders>
              <w:top w:val="nil"/>
              <w:left w:val="nil"/>
              <w:bottom w:val="nil"/>
              <w:right w:val="nil"/>
            </w:tcBorders>
            <w:shd w:val="clear" w:color="auto" w:fill="FFFFFF" w:themeFill="background1"/>
            <w:noWrap/>
            <w:vAlign w:val="bottom"/>
            <w:hideMark/>
          </w:tcPr>
          <w:p w14:paraId="39EC1831"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w:t>
            </w:r>
          </w:p>
        </w:tc>
        <w:tc>
          <w:tcPr>
            <w:tcW w:w="766" w:type="dxa"/>
            <w:tcBorders>
              <w:top w:val="nil"/>
              <w:left w:val="nil"/>
              <w:bottom w:val="nil"/>
              <w:right w:val="nil"/>
            </w:tcBorders>
            <w:shd w:val="clear" w:color="auto" w:fill="FFFFFF" w:themeFill="background1"/>
            <w:noWrap/>
            <w:vAlign w:val="bottom"/>
            <w:hideMark/>
          </w:tcPr>
          <w:p w14:paraId="3168D124"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0.037</w:t>
            </w:r>
          </w:p>
        </w:tc>
      </w:tr>
      <w:tr w:rsidR="00322A5F" w:rsidRPr="0063044E" w14:paraId="145B9A4C" w14:textId="77777777" w:rsidTr="001918F2">
        <w:trPr>
          <w:trHeight w:val="255"/>
        </w:trPr>
        <w:tc>
          <w:tcPr>
            <w:tcW w:w="4886" w:type="dxa"/>
            <w:tcBorders>
              <w:top w:val="nil"/>
              <w:left w:val="nil"/>
              <w:bottom w:val="nil"/>
              <w:right w:val="nil"/>
            </w:tcBorders>
            <w:shd w:val="clear" w:color="auto" w:fill="FFFFFF" w:themeFill="background1"/>
            <w:noWrap/>
            <w:vAlign w:val="bottom"/>
            <w:hideMark/>
          </w:tcPr>
          <w:p w14:paraId="3F1CD065"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Substance Use Disorder</w:t>
            </w:r>
          </w:p>
        </w:tc>
        <w:tc>
          <w:tcPr>
            <w:tcW w:w="424" w:type="dxa"/>
            <w:tcBorders>
              <w:top w:val="nil"/>
              <w:left w:val="nil"/>
              <w:bottom w:val="nil"/>
              <w:right w:val="nil"/>
            </w:tcBorders>
            <w:shd w:val="clear" w:color="auto" w:fill="FFFFFF" w:themeFill="background1"/>
            <w:noWrap/>
            <w:vAlign w:val="bottom"/>
            <w:hideMark/>
          </w:tcPr>
          <w:p w14:paraId="4F73797F"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1C08EFEE"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1DE93B6E"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1799A6C2"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-0.045</w:t>
            </w:r>
          </w:p>
        </w:tc>
        <w:tc>
          <w:tcPr>
            <w:tcW w:w="406" w:type="dxa"/>
            <w:tcBorders>
              <w:top w:val="nil"/>
              <w:left w:val="nil"/>
              <w:bottom w:val="nil"/>
              <w:right w:val="nil"/>
            </w:tcBorders>
            <w:shd w:val="clear" w:color="auto" w:fill="FFFFFF" w:themeFill="background1"/>
            <w:noWrap/>
            <w:vAlign w:val="bottom"/>
            <w:hideMark/>
          </w:tcPr>
          <w:p w14:paraId="7C9F1200"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 </w:t>
            </w:r>
          </w:p>
        </w:tc>
        <w:tc>
          <w:tcPr>
            <w:tcW w:w="766" w:type="dxa"/>
            <w:tcBorders>
              <w:top w:val="nil"/>
              <w:left w:val="nil"/>
              <w:bottom w:val="nil"/>
              <w:right w:val="nil"/>
            </w:tcBorders>
            <w:shd w:val="clear" w:color="auto" w:fill="FFFFFF" w:themeFill="background1"/>
            <w:noWrap/>
            <w:vAlign w:val="bottom"/>
            <w:hideMark/>
          </w:tcPr>
          <w:p w14:paraId="7D828CAC"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0.079</w:t>
            </w:r>
          </w:p>
        </w:tc>
      </w:tr>
      <w:tr w:rsidR="00322A5F" w:rsidRPr="0063044E" w14:paraId="0E8BB8AE" w14:textId="77777777" w:rsidTr="001918F2">
        <w:trPr>
          <w:trHeight w:val="255"/>
        </w:trPr>
        <w:tc>
          <w:tcPr>
            <w:tcW w:w="4886" w:type="dxa"/>
            <w:tcBorders>
              <w:top w:val="nil"/>
              <w:left w:val="nil"/>
              <w:bottom w:val="single" w:sz="4" w:space="0" w:color="auto"/>
              <w:right w:val="nil"/>
            </w:tcBorders>
            <w:shd w:val="clear" w:color="auto" w:fill="FFFFFF" w:themeFill="background1"/>
            <w:noWrap/>
            <w:vAlign w:val="bottom"/>
            <w:hideMark/>
          </w:tcPr>
          <w:p w14:paraId="193B1A2C"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Social Integration</w:t>
            </w:r>
          </w:p>
        </w:tc>
        <w:tc>
          <w:tcPr>
            <w:tcW w:w="424" w:type="dxa"/>
            <w:tcBorders>
              <w:top w:val="nil"/>
              <w:left w:val="nil"/>
              <w:bottom w:val="single" w:sz="4" w:space="0" w:color="auto"/>
              <w:right w:val="nil"/>
            </w:tcBorders>
            <w:shd w:val="clear" w:color="auto" w:fill="FFFFFF" w:themeFill="background1"/>
            <w:noWrap/>
            <w:vAlign w:val="bottom"/>
            <w:hideMark/>
          </w:tcPr>
          <w:p w14:paraId="0B67C52E"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908" w:type="dxa"/>
            <w:tcBorders>
              <w:top w:val="nil"/>
              <w:left w:val="nil"/>
              <w:bottom w:val="single" w:sz="4" w:space="0" w:color="auto"/>
              <w:right w:val="nil"/>
            </w:tcBorders>
            <w:shd w:val="clear" w:color="auto" w:fill="FFFFFF" w:themeFill="background1"/>
            <w:noWrap/>
            <w:vAlign w:val="bottom"/>
            <w:hideMark/>
          </w:tcPr>
          <w:p w14:paraId="27043C38"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442" w:type="dxa"/>
            <w:tcBorders>
              <w:top w:val="nil"/>
              <w:left w:val="nil"/>
              <w:bottom w:val="single" w:sz="4" w:space="0" w:color="auto"/>
              <w:right w:val="nil"/>
            </w:tcBorders>
            <w:shd w:val="clear" w:color="auto" w:fill="FFFFFF" w:themeFill="background1"/>
            <w:noWrap/>
            <w:vAlign w:val="bottom"/>
            <w:hideMark/>
          </w:tcPr>
          <w:p w14:paraId="68870742" w14:textId="77777777" w:rsidR="00322A5F" w:rsidRPr="009974E0" w:rsidRDefault="00322A5F" w:rsidP="001918F2">
            <w:pPr>
              <w:spacing w:line="240" w:lineRule="auto"/>
              <w:jc w:val="center"/>
              <w:rPr>
                <w:rFonts w:eastAsia="Times New Roman" w:cs="Times New Roman"/>
                <w:sz w:val="20"/>
                <w:szCs w:val="20"/>
              </w:rPr>
            </w:pPr>
            <w:r w:rsidRPr="009974E0">
              <w:rPr>
                <w:rFonts w:eastAsia="Times New Roman" w:cs="Times New Roman"/>
                <w:sz w:val="20"/>
                <w:szCs w:val="20"/>
              </w:rPr>
              <w:t> </w:t>
            </w:r>
          </w:p>
        </w:tc>
        <w:tc>
          <w:tcPr>
            <w:tcW w:w="860" w:type="dxa"/>
            <w:tcBorders>
              <w:top w:val="nil"/>
              <w:left w:val="nil"/>
              <w:bottom w:val="single" w:sz="4" w:space="0" w:color="auto"/>
              <w:right w:val="nil"/>
            </w:tcBorders>
            <w:shd w:val="clear" w:color="auto" w:fill="FFFFFF" w:themeFill="background1"/>
            <w:noWrap/>
            <w:vAlign w:val="bottom"/>
            <w:hideMark/>
          </w:tcPr>
          <w:p w14:paraId="1F2E63CB"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-0.027</w:t>
            </w:r>
          </w:p>
        </w:tc>
        <w:tc>
          <w:tcPr>
            <w:tcW w:w="406" w:type="dxa"/>
            <w:tcBorders>
              <w:top w:val="nil"/>
              <w:left w:val="nil"/>
              <w:bottom w:val="single" w:sz="4" w:space="0" w:color="auto"/>
              <w:right w:val="nil"/>
            </w:tcBorders>
            <w:shd w:val="clear" w:color="auto" w:fill="FFFFFF" w:themeFill="background1"/>
            <w:noWrap/>
            <w:vAlign w:val="bottom"/>
            <w:hideMark/>
          </w:tcPr>
          <w:p w14:paraId="51B71D0A" w14:textId="77777777" w:rsidR="00322A5F" w:rsidRPr="009974E0" w:rsidRDefault="00322A5F" w:rsidP="001918F2">
            <w:pPr>
              <w:spacing w:line="240" w:lineRule="auto"/>
              <w:jc w:val="center"/>
              <w:rPr>
                <w:rFonts w:eastAsia="Times New Roman" w:cs="Times New Roman"/>
                <w:sz w:val="20"/>
                <w:szCs w:val="20"/>
              </w:rPr>
            </w:pPr>
            <w:r w:rsidRPr="009974E0">
              <w:rPr>
                <w:rFonts w:cs="Times New Roman"/>
                <w:sz w:val="20"/>
                <w:szCs w:val="20"/>
              </w:rPr>
              <w:t> </w:t>
            </w:r>
          </w:p>
        </w:tc>
        <w:tc>
          <w:tcPr>
            <w:tcW w:w="766" w:type="dxa"/>
            <w:tcBorders>
              <w:top w:val="nil"/>
              <w:left w:val="nil"/>
              <w:bottom w:val="single" w:sz="4" w:space="0" w:color="auto"/>
              <w:right w:val="nil"/>
            </w:tcBorders>
            <w:shd w:val="clear" w:color="auto" w:fill="FFFFFF" w:themeFill="background1"/>
            <w:noWrap/>
            <w:vAlign w:val="bottom"/>
            <w:hideMark/>
          </w:tcPr>
          <w:p w14:paraId="78E1EE9B" w14:textId="77777777" w:rsidR="00322A5F" w:rsidRPr="009974E0" w:rsidRDefault="00322A5F" w:rsidP="001918F2">
            <w:pPr>
              <w:spacing w:line="240" w:lineRule="auto"/>
              <w:rPr>
                <w:rFonts w:eastAsia="Times New Roman" w:cs="Times New Roman"/>
                <w:sz w:val="20"/>
                <w:szCs w:val="20"/>
              </w:rPr>
            </w:pPr>
            <w:r w:rsidRPr="009974E0">
              <w:rPr>
                <w:rFonts w:cs="Times New Roman"/>
                <w:sz w:val="20"/>
                <w:szCs w:val="20"/>
              </w:rPr>
              <w:t>0.081</w:t>
            </w:r>
          </w:p>
        </w:tc>
      </w:tr>
      <w:tr w:rsidR="00322A5F" w:rsidRPr="0063044E" w14:paraId="16C685E1" w14:textId="77777777" w:rsidTr="001918F2">
        <w:trPr>
          <w:trHeight w:val="255"/>
        </w:trPr>
        <w:tc>
          <w:tcPr>
            <w:tcW w:w="6218" w:type="dxa"/>
            <w:gridSpan w:val="3"/>
            <w:tcBorders>
              <w:top w:val="nil"/>
              <w:left w:val="nil"/>
              <w:bottom w:val="nil"/>
              <w:right w:val="nil"/>
            </w:tcBorders>
            <w:shd w:val="clear" w:color="auto" w:fill="FFFFFF" w:themeFill="background1"/>
            <w:noWrap/>
            <w:vAlign w:val="bottom"/>
            <w:hideMark/>
          </w:tcPr>
          <w:p w14:paraId="2138B52B" w14:textId="77777777" w:rsidR="00322A5F" w:rsidRPr="009974E0" w:rsidRDefault="00322A5F" w:rsidP="001918F2">
            <w:pPr>
              <w:spacing w:line="240" w:lineRule="auto"/>
              <w:rPr>
                <w:rFonts w:eastAsia="Times New Roman" w:cs="Times New Roman"/>
                <w:sz w:val="20"/>
                <w:szCs w:val="20"/>
              </w:rPr>
            </w:pPr>
            <w:r w:rsidRPr="009974E0">
              <w:rPr>
                <w:rFonts w:eastAsia="Times New Roman" w:cs="Times New Roman"/>
                <w:sz w:val="20"/>
                <w:szCs w:val="20"/>
              </w:rPr>
              <w:t>† p &lt; .10, * p &lt; .05</w:t>
            </w:r>
          </w:p>
        </w:tc>
        <w:tc>
          <w:tcPr>
            <w:tcW w:w="442" w:type="dxa"/>
            <w:tcBorders>
              <w:top w:val="nil"/>
              <w:left w:val="nil"/>
              <w:bottom w:val="nil"/>
              <w:right w:val="nil"/>
            </w:tcBorders>
            <w:shd w:val="clear" w:color="auto" w:fill="FFFFFF" w:themeFill="background1"/>
            <w:noWrap/>
            <w:vAlign w:val="bottom"/>
            <w:hideMark/>
          </w:tcPr>
          <w:p w14:paraId="178AF0D0"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48452C43"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406" w:type="dxa"/>
            <w:tcBorders>
              <w:top w:val="nil"/>
              <w:left w:val="nil"/>
              <w:bottom w:val="nil"/>
              <w:right w:val="nil"/>
            </w:tcBorders>
            <w:shd w:val="clear" w:color="auto" w:fill="FFFFFF" w:themeFill="background1"/>
            <w:noWrap/>
            <w:vAlign w:val="bottom"/>
            <w:hideMark/>
          </w:tcPr>
          <w:p w14:paraId="20BFD1DF"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766" w:type="dxa"/>
            <w:tcBorders>
              <w:top w:val="nil"/>
              <w:left w:val="nil"/>
              <w:bottom w:val="nil"/>
              <w:right w:val="nil"/>
            </w:tcBorders>
            <w:shd w:val="clear" w:color="auto" w:fill="FFFFFF" w:themeFill="background1"/>
            <w:noWrap/>
            <w:vAlign w:val="bottom"/>
            <w:hideMark/>
          </w:tcPr>
          <w:p w14:paraId="79E30F15"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r>
      <w:tr w:rsidR="00322A5F" w:rsidRPr="0063044E" w14:paraId="4141D961" w14:textId="77777777" w:rsidTr="001918F2">
        <w:trPr>
          <w:trHeight w:val="255"/>
        </w:trPr>
        <w:tc>
          <w:tcPr>
            <w:tcW w:w="4886" w:type="dxa"/>
            <w:tcBorders>
              <w:top w:val="nil"/>
              <w:left w:val="nil"/>
              <w:bottom w:val="nil"/>
              <w:right w:val="nil"/>
            </w:tcBorders>
            <w:shd w:val="clear" w:color="auto" w:fill="auto"/>
            <w:noWrap/>
            <w:vAlign w:val="bottom"/>
            <w:hideMark/>
          </w:tcPr>
          <w:p w14:paraId="590AB5EB" w14:textId="35DE12C3" w:rsidR="00322A5F" w:rsidRPr="009974E0" w:rsidRDefault="009541A0" w:rsidP="00535B46">
            <w:pPr>
              <w:spacing w:line="240" w:lineRule="auto"/>
              <w:ind w:right="-260"/>
              <w:rPr>
                <w:rFonts w:eastAsia="Times New Roman" w:cs="Times New Roman"/>
                <w:sz w:val="20"/>
                <w:szCs w:val="20"/>
              </w:rPr>
            </w:pPr>
            <w:r>
              <w:rPr>
                <w:rFonts w:eastAsia="Times New Roman" w:cs="Times New Roman"/>
                <w:sz w:val="20"/>
                <w:szCs w:val="20"/>
              </w:rPr>
              <w:t>a</w:t>
            </w:r>
            <w:r w:rsidR="00322A5F" w:rsidRPr="009974E0">
              <w:rPr>
                <w:rFonts w:eastAsia="Times New Roman" w:cs="Times New Roman"/>
                <w:sz w:val="20"/>
                <w:szCs w:val="20"/>
              </w:rPr>
              <w:t>. Table presents multiply imputed (m = 20) data, N = 132</w:t>
            </w:r>
          </w:p>
        </w:tc>
        <w:tc>
          <w:tcPr>
            <w:tcW w:w="424" w:type="dxa"/>
            <w:tcBorders>
              <w:top w:val="nil"/>
              <w:left w:val="nil"/>
              <w:bottom w:val="nil"/>
              <w:right w:val="nil"/>
            </w:tcBorders>
            <w:shd w:val="clear" w:color="auto" w:fill="FFFFFF" w:themeFill="background1"/>
            <w:noWrap/>
            <w:vAlign w:val="bottom"/>
            <w:hideMark/>
          </w:tcPr>
          <w:p w14:paraId="0AF1E685"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908" w:type="dxa"/>
            <w:tcBorders>
              <w:top w:val="nil"/>
              <w:left w:val="nil"/>
              <w:bottom w:val="nil"/>
              <w:right w:val="nil"/>
            </w:tcBorders>
            <w:shd w:val="clear" w:color="auto" w:fill="FFFFFF" w:themeFill="background1"/>
            <w:noWrap/>
            <w:vAlign w:val="bottom"/>
            <w:hideMark/>
          </w:tcPr>
          <w:p w14:paraId="7D25303D"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442" w:type="dxa"/>
            <w:tcBorders>
              <w:top w:val="nil"/>
              <w:left w:val="nil"/>
              <w:bottom w:val="nil"/>
              <w:right w:val="nil"/>
            </w:tcBorders>
            <w:shd w:val="clear" w:color="auto" w:fill="FFFFFF" w:themeFill="background1"/>
            <w:noWrap/>
            <w:vAlign w:val="bottom"/>
            <w:hideMark/>
          </w:tcPr>
          <w:p w14:paraId="16B88FA5"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860" w:type="dxa"/>
            <w:tcBorders>
              <w:top w:val="nil"/>
              <w:left w:val="nil"/>
              <w:bottom w:val="nil"/>
              <w:right w:val="nil"/>
            </w:tcBorders>
            <w:shd w:val="clear" w:color="auto" w:fill="FFFFFF" w:themeFill="background1"/>
            <w:noWrap/>
            <w:vAlign w:val="bottom"/>
            <w:hideMark/>
          </w:tcPr>
          <w:p w14:paraId="416B6D9B"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406" w:type="dxa"/>
            <w:tcBorders>
              <w:top w:val="nil"/>
              <w:left w:val="nil"/>
              <w:bottom w:val="nil"/>
              <w:right w:val="nil"/>
            </w:tcBorders>
            <w:shd w:val="clear" w:color="auto" w:fill="FFFFFF" w:themeFill="background1"/>
            <w:noWrap/>
            <w:vAlign w:val="bottom"/>
            <w:hideMark/>
          </w:tcPr>
          <w:p w14:paraId="5158A3C8"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c>
          <w:tcPr>
            <w:tcW w:w="766" w:type="dxa"/>
            <w:tcBorders>
              <w:top w:val="nil"/>
              <w:left w:val="nil"/>
              <w:bottom w:val="nil"/>
              <w:right w:val="nil"/>
            </w:tcBorders>
            <w:shd w:val="clear" w:color="auto" w:fill="FFFFFF" w:themeFill="background1"/>
            <w:noWrap/>
            <w:vAlign w:val="bottom"/>
            <w:hideMark/>
          </w:tcPr>
          <w:p w14:paraId="50900CA4" w14:textId="77777777" w:rsidR="00322A5F" w:rsidRPr="0063044E" w:rsidRDefault="00322A5F" w:rsidP="001918F2">
            <w:pPr>
              <w:spacing w:line="240" w:lineRule="auto"/>
              <w:rPr>
                <w:rFonts w:eastAsia="Times New Roman" w:cs="Times New Roman"/>
                <w:sz w:val="20"/>
                <w:szCs w:val="20"/>
              </w:rPr>
            </w:pPr>
            <w:r w:rsidRPr="0063044E">
              <w:rPr>
                <w:rFonts w:eastAsia="Times New Roman" w:cs="Times New Roman"/>
                <w:sz w:val="20"/>
                <w:szCs w:val="20"/>
              </w:rPr>
              <w:t> </w:t>
            </w:r>
          </w:p>
        </w:tc>
      </w:tr>
    </w:tbl>
    <w:p w14:paraId="21E6EDC3" w14:textId="77777777" w:rsidR="005E70FF" w:rsidRDefault="005E70FF" w:rsidP="00721FF6">
      <w:pPr>
        <w:ind w:firstLine="720"/>
        <w:rPr>
          <w:rFonts w:eastAsia="Calibri" w:cs="Times New Roman"/>
          <w:color w:val="000000" w:themeColor="text1"/>
          <w:szCs w:val="24"/>
        </w:rPr>
      </w:pPr>
    </w:p>
    <w:p w14:paraId="2E1A09C5" w14:textId="58B6CA5B" w:rsidR="0038782D" w:rsidRDefault="0038782D" w:rsidP="00721FF6">
      <w:pPr>
        <w:ind w:firstLine="720"/>
        <w:rPr>
          <w:rFonts w:eastAsia="Calibri" w:cs="Times New Roman"/>
          <w:color w:val="000000" w:themeColor="text1"/>
          <w:szCs w:val="24"/>
        </w:rPr>
      </w:pPr>
      <w:r w:rsidRPr="00AC4F3C">
        <w:rPr>
          <w:rFonts w:eastAsia="Calibri" w:cs="Times New Roman"/>
          <w:color w:val="000000" w:themeColor="text1"/>
          <w:szCs w:val="24"/>
        </w:rPr>
        <w:t xml:space="preserve">Table </w:t>
      </w:r>
      <w:r w:rsidR="00303F56">
        <w:rPr>
          <w:rFonts w:eastAsia="Calibri" w:cs="Times New Roman"/>
          <w:color w:val="000000" w:themeColor="text1"/>
          <w:szCs w:val="24"/>
        </w:rPr>
        <w:t>5</w:t>
      </w:r>
      <w:r w:rsidRPr="00AC4F3C">
        <w:rPr>
          <w:rFonts w:eastAsia="Calibri" w:cs="Times New Roman"/>
          <w:color w:val="000000" w:themeColor="text1"/>
          <w:szCs w:val="24"/>
        </w:rPr>
        <w:t xml:space="preserve"> presents results from bivariate and multivariate logistic regression models predicting child visitation. Similar to the bivariate result</w:t>
      </w:r>
      <w:r w:rsidR="001650FA">
        <w:rPr>
          <w:rFonts w:eastAsia="Calibri" w:cs="Times New Roman"/>
          <w:color w:val="000000" w:themeColor="text1"/>
          <w:szCs w:val="24"/>
        </w:rPr>
        <w:t>s</w:t>
      </w:r>
      <w:r w:rsidRPr="00AC4F3C">
        <w:rPr>
          <w:rFonts w:eastAsia="Calibri" w:cs="Times New Roman"/>
          <w:color w:val="000000" w:themeColor="text1"/>
          <w:szCs w:val="24"/>
        </w:rPr>
        <w:t xml:space="preserve"> in Table </w:t>
      </w:r>
      <w:r w:rsidR="00303F56">
        <w:rPr>
          <w:rFonts w:eastAsia="Calibri" w:cs="Times New Roman"/>
          <w:color w:val="000000" w:themeColor="text1"/>
          <w:szCs w:val="24"/>
        </w:rPr>
        <w:t>4</w:t>
      </w:r>
      <w:r w:rsidRPr="00AC4F3C">
        <w:rPr>
          <w:rFonts w:eastAsia="Calibri" w:cs="Times New Roman"/>
          <w:color w:val="000000" w:themeColor="text1"/>
          <w:szCs w:val="24"/>
        </w:rPr>
        <w:t xml:space="preserve">, pseudo-motherhood </w:t>
      </w:r>
      <w:r w:rsidR="00A36CDB">
        <w:rPr>
          <w:rFonts w:eastAsia="Calibri" w:cs="Times New Roman"/>
          <w:color w:val="000000" w:themeColor="text1"/>
          <w:szCs w:val="24"/>
        </w:rPr>
        <w:t>was</w:t>
      </w:r>
      <w:r w:rsidRPr="00AC4F3C">
        <w:rPr>
          <w:rFonts w:eastAsia="Calibri" w:cs="Times New Roman"/>
          <w:color w:val="000000" w:themeColor="text1"/>
          <w:szCs w:val="24"/>
        </w:rPr>
        <w:t xml:space="preserve"> a positive and nonsignificant (</w:t>
      </w:r>
      <w:r w:rsidRPr="00AC4F3C">
        <w:rPr>
          <w:rFonts w:eastAsia="Calibri" w:cs="Times New Roman"/>
          <w:i/>
          <w:iCs/>
          <w:color w:val="000000" w:themeColor="text1"/>
          <w:szCs w:val="24"/>
        </w:rPr>
        <w:t xml:space="preserve">p </w:t>
      </w:r>
      <w:r w:rsidRPr="00AC4F3C">
        <w:rPr>
          <w:rFonts w:eastAsia="Calibri" w:cs="Times New Roman"/>
          <w:color w:val="000000" w:themeColor="text1"/>
          <w:szCs w:val="24"/>
        </w:rPr>
        <w:t>&gt; .10) correlate of visitation by any child in the past six months. The introduction of covariates reduce</w:t>
      </w:r>
      <w:r w:rsidR="00A36CDB">
        <w:rPr>
          <w:rFonts w:eastAsia="Calibri" w:cs="Times New Roman"/>
          <w:color w:val="000000" w:themeColor="text1"/>
          <w:szCs w:val="24"/>
        </w:rPr>
        <w:t>d</w:t>
      </w:r>
      <w:r w:rsidRPr="00AC4F3C">
        <w:rPr>
          <w:rFonts w:eastAsia="Calibri" w:cs="Times New Roman"/>
          <w:color w:val="000000" w:themeColor="text1"/>
          <w:szCs w:val="24"/>
        </w:rPr>
        <w:t xml:space="preserve"> the pseudo-motherhood coefficient even further. Of the controls, women who were incarcerated longer were significantly (</w:t>
      </w:r>
      <w:r w:rsidRPr="00AC4F3C">
        <w:rPr>
          <w:rFonts w:eastAsia="Calibri" w:cs="Times New Roman"/>
          <w:i/>
          <w:iCs/>
          <w:color w:val="000000" w:themeColor="text1"/>
          <w:szCs w:val="24"/>
        </w:rPr>
        <w:t>p</w:t>
      </w:r>
      <w:r w:rsidRPr="00AC4F3C">
        <w:rPr>
          <w:rFonts w:eastAsia="Calibri" w:cs="Times New Roman"/>
          <w:color w:val="000000" w:themeColor="text1"/>
          <w:szCs w:val="24"/>
        </w:rPr>
        <w:t xml:space="preserve"> &lt; .05) less likely to receive visits from children. Additionally, those imprisoned for violent, compared to drug crimes, were significantly (</w:t>
      </w:r>
      <w:r w:rsidRPr="00AC4F3C">
        <w:rPr>
          <w:rFonts w:eastAsia="Calibri" w:cs="Times New Roman"/>
          <w:i/>
          <w:iCs/>
          <w:color w:val="000000" w:themeColor="text1"/>
          <w:szCs w:val="24"/>
        </w:rPr>
        <w:t>p</w:t>
      </w:r>
      <w:r w:rsidRPr="00AC4F3C">
        <w:rPr>
          <w:rFonts w:eastAsia="Calibri" w:cs="Times New Roman"/>
          <w:color w:val="000000" w:themeColor="text1"/>
          <w:szCs w:val="24"/>
        </w:rPr>
        <w:t xml:space="preserve"> &lt; .05) more likely to receive visits from children.</w:t>
      </w:r>
    </w:p>
    <w:p w14:paraId="564B88B1" w14:textId="6E4296DD" w:rsidR="00322A5F" w:rsidRDefault="0038782D">
      <w:pPr>
        <w:ind w:firstLine="720"/>
        <w:rPr>
          <w:rFonts w:eastAsia="Calibri" w:cs="Times New Roman"/>
          <w:color w:val="000000" w:themeColor="text1"/>
          <w:szCs w:val="24"/>
        </w:rPr>
      </w:pPr>
      <w:r>
        <w:rPr>
          <w:rFonts w:eastAsia="Calibri" w:cs="Times New Roman"/>
          <w:color w:val="000000" w:themeColor="text1"/>
          <w:szCs w:val="24"/>
        </w:rPr>
        <w:t>W</w:t>
      </w:r>
      <w:r w:rsidRPr="00AC4F3C">
        <w:rPr>
          <w:rFonts w:eastAsia="Calibri" w:cs="Times New Roman"/>
          <w:color w:val="000000" w:themeColor="text1"/>
          <w:szCs w:val="24"/>
        </w:rPr>
        <w:t>e investigated the association between pseudo-motherhood and relationships with biological children, operationalized as self-reported relationship quality and child visitation in the past six months. Our analyses support</w:t>
      </w:r>
      <w:r w:rsidR="00A36CDB">
        <w:rPr>
          <w:rFonts w:eastAsia="Calibri" w:cs="Times New Roman"/>
          <w:color w:val="000000" w:themeColor="text1"/>
          <w:szCs w:val="24"/>
        </w:rPr>
        <w:t>ed</w:t>
      </w:r>
      <w:r w:rsidRPr="00AC4F3C">
        <w:rPr>
          <w:rFonts w:eastAsia="Calibri" w:cs="Times New Roman"/>
          <w:color w:val="000000" w:themeColor="text1"/>
          <w:szCs w:val="24"/>
        </w:rPr>
        <w:t xml:space="preserve"> the reproduction hypothesis, in </w:t>
      </w:r>
      <w:proofErr w:type="gramStart"/>
      <w:r w:rsidRPr="00AC4F3C">
        <w:rPr>
          <w:rFonts w:eastAsia="Calibri" w:cs="Times New Roman"/>
          <w:color w:val="000000" w:themeColor="text1"/>
          <w:szCs w:val="24"/>
        </w:rPr>
        <w:t>that pseudo-mothers</w:t>
      </w:r>
      <w:proofErr w:type="gramEnd"/>
      <w:r w:rsidRPr="00AC4F3C">
        <w:rPr>
          <w:rFonts w:eastAsia="Calibri" w:cs="Times New Roman"/>
          <w:color w:val="000000" w:themeColor="text1"/>
          <w:szCs w:val="24"/>
        </w:rPr>
        <w:t>’ relationships with their biological children appeared no different from those of other incarcerated mothers on the units. In other words, there appear</w:t>
      </w:r>
      <w:r w:rsidR="00A36CDB">
        <w:rPr>
          <w:rFonts w:eastAsia="Calibri" w:cs="Times New Roman"/>
          <w:color w:val="000000" w:themeColor="text1"/>
          <w:szCs w:val="24"/>
        </w:rPr>
        <w:t>ed</w:t>
      </w:r>
      <w:r w:rsidRPr="00AC4F3C">
        <w:rPr>
          <w:rFonts w:eastAsia="Calibri" w:cs="Times New Roman"/>
          <w:color w:val="000000" w:themeColor="text1"/>
          <w:szCs w:val="24"/>
        </w:rPr>
        <w:t xml:space="preserve"> no evidence that women who assume pseudo-mother roles in prison </w:t>
      </w:r>
      <w:r w:rsidRPr="00AC4F3C">
        <w:rPr>
          <w:rFonts w:eastAsia="Calibri" w:cs="Times New Roman"/>
          <w:i/>
          <w:iCs/>
          <w:color w:val="000000" w:themeColor="text1"/>
          <w:szCs w:val="24"/>
        </w:rPr>
        <w:t xml:space="preserve">turn away from </w:t>
      </w:r>
      <w:r w:rsidRPr="00AC4F3C">
        <w:rPr>
          <w:rFonts w:eastAsia="Calibri" w:cs="Times New Roman"/>
          <w:color w:val="000000" w:themeColor="text1"/>
          <w:szCs w:val="24"/>
        </w:rPr>
        <w:t>their biological children. We did find evidence that pseudo-mothers tended to be older, in prison longer, and more integrated into their unit’s social organization than their peers. They also tended to be nominated as powerful and influential on their respective units. These findings suggest</w:t>
      </w:r>
      <w:r w:rsidR="00A36CDB">
        <w:rPr>
          <w:rFonts w:eastAsia="Calibri" w:cs="Times New Roman"/>
          <w:color w:val="000000" w:themeColor="text1"/>
          <w:szCs w:val="24"/>
        </w:rPr>
        <w:t>ed</w:t>
      </w:r>
      <w:r w:rsidRPr="00AC4F3C">
        <w:rPr>
          <w:rFonts w:eastAsia="Calibri" w:cs="Times New Roman"/>
          <w:color w:val="000000" w:themeColor="text1"/>
          <w:szCs w:val="24"/>
        </w:rPr>
        <w:t xml:space="preserve"> that pseudo-mothers are more likely to be “</w:t>
      </w:r>
      <w:proofErr w:type="spellStart"/>
      <w:r w:rsidRPr="00AC4F3C">
        <w:rPr>
          <w:rFonts w:eastAsia="Calibri" w:cs="Times New Roman"/>
          <w:color w:val="000000" w:themeColor="text1"/>
          <w:szCs w:val="24"/>
        </w:rPr>
        <w:t>prisonized</w:t>
      </w:r>
      <w:proofErr w:type="spellEnd"/>
      <w:r w:rsidRPr="00AC4F3C">
        <w:rPr>
          <w:rFonts w:eastAsia="Calibri" w:cs="Times New Roman"/>
          <w:color w:val="000000" w:themeColor="text1"/>
          <w:szCs w:val="24"/>
        </w:rPr>
        <w:t xml:space="preserve">” </w:t>
      </w:r>
      <w:r w:rsidRPr="004712A8">
        <w:rPr>
          <w:rFonts w:eastAsia="Calibri" w:cs="Times New Roman"/>
          <w:color w:val="000000" w:themeColor="text1"/>
          <w:szCs w:val="24"/>
        </w:rPr>
        <w:fldChar w:fldCharType="begin"/>
      </w:r>
      <w:r w:rsidRPr="004712A8">
        <w:rPr>
          <w:rFonts w:eastAsia="Calibri" w:cs="Times New Roman"/>
          <w:color w:val="000000" w:themeColor="text1"/>
          <w:szCs w:val="24"/>
        </w:rPr>
        <w:instrText xml:space="preserve"> ADDIN ZOTERO_ITEM CSL_CITATION {"citationID":"dpWl3Vqt","properties":{"formattedCitation":"(Clemmer 1958)","plainCitation":"(Clemmer 1958)","noteIndex":0},"citationItems":[{"id":1538,"uris":["http://zotero.org/users/5656367/items/5VQ9CI5L"],"uri":["http://zotero.org/users/5656367/items/5VQ9CI5L"],"itemData":{"id":1538,"type":"book","abstract":"This is a classic study of formal and informal social organization prisonization in a prison community. Written originally in the 1930s, it presents a model still in use today: the prison as a social microcosm in which the conditions and values of the broader society operate.","language":"en","note":"Google-Books-ID: UxqVoAEACAAJ","number-of-pages":"341","publisher":"Rinehart","source":"Google Books","title":"The Prison Community","author":[{"family":"Clemmer","given":"Donald"}],"issued":{"date-parts":[["1958"]]}}}],"schema":"https://github.com/citation-style-language/schema/raw/master/csl-citation.json"} </w:instrText>
      </w:r>
      <w:r w:rsidRPr="004712A8">
        <w:rPr>
          <w:rFonts w:eastAsia="Calibri" w:cs="Times New Roman"/>
          <w:color w:val="000000" w:themeColor="text1"/>
          <w:szCs w:val="24"/>
        </w:rPr>
        <w:fldChar w:fldCharType="separate"/>
      </w:r>
      <w:r w:rsidRPr="004712A8">
        <w:rPr>
          <w:rFonts w:cs="Times New Roman"/>
          <w:szCs w:val="24"/>
        </w:rPr>
        <w:t>(Clemmer</w:t>
      </w:r>
      <w:r w:rsidR="00721FF6" w:rsidRPr="004712A8">
        <w:rPr>
          <w:rFonts w:cs="Times New Roman"/>
          <w:szCs w:val="24"/>
        </w:rPr>
        <w:t>,</w:t>
      </w:r>
      <w:r w:rsidRPr="004712A8">
        <w:rPr>
          <w:rFonts w:cs="Times New Roman"/>
          <w:szCs w:val="24"/>
        </w:rPr>
        <w:t xml:space="preserve"> 1958)</w:t>
      </w:r>
      <w:r w:rsidRPr="004712A8">
        <w:rPr>
          <w:rFonts w:eastAsia="Calibri" w:cs="Times New Roman"/>
          <w:color w:val="000000" w:themeColor="text1"/>
          <w:szCs w:val="24"/>
        </w:rPr>
        <w:fldChar w:fldCharType="end"/>
      </w:r>
      <w:r w:rsidRPr="004712A8">
        <w:rPr>
          <w:rFonts w:eastAsia="Calibri" w:cs="Times New Roman"/>
          <w:color w:val="000000" w:themeColor="text1"/>
          <w:szCs w:val="24"/>
        </w:rPr>
        <w:t xml:space="preserve"> and separate</w:t>
      </w:r>
      <w:r w:rsidRPr="00AC4F3C">
        <w:rPr>
          <w:rFonts w:eastAsia="Calibri" w:cs="Times New Roman"/>
          <w:color w:val="000000" w:themeColor="text1"/>
          <w:szCs w:val="24"/>
        </w:rPr>
        <w:t>d from their outside lives for extended periods.</w:t>
      </w:r>
      <w:r>
        <w:rPr>
          <w:rFonts w:eastAsia="Calibri" w:cs="Times New Roman"/>
          <w:color w:val="000000" w:themeColor="text1"/>
          <w:szCs w:val="24"/>
        </w:rPr>
        <w:t xml:space="preserve"> </w:t>
      </w:r>
      <w:r w:rsidRPr="00AC4F3C">
        <w:rPr>
          <w:rFonts w:eastAsia="Calibri" w:cs="Times New Roman"/>
          <w:color w:val="000000" w:themeColor="text1"/>
          <w:szCs w:val="24"/>
        </w:rPr>
        <w:t>However, the role of pseudo-motherhood did not appear to translate into weakened relationships with biological children compared to other incarcerated women. Other characteristics, such as age, substance use, and previous material hardship appeared stronger predictors of such parent-child relationships</w:t>
      </w:r>
      <w:r>
        <w:rPr>
          <w:rFonts w:eastAsia="Calibri" w:cs="Times New Roman"/>
          <w:color w:val="000000" w:themeColor="text1"/>
          <w:szCs w:val="24"/>
        </w:rPr>
        <w:t>.</w:t>
      </w:r>
    </w:p>
    <w:p w14:paraId="0FB38F36" w14:textId="65997D03" w:rsidR="004A103B" w:rsidRDefault="00FD1694" w:rsidP="009974E0">
      <w:pPr>
        <w:pStyle w:val="Heading3"/>
      </w:pPr>
      <w:r>
        <w:t>Visitation in Women’s Prison</w:t>
      </w:r>
    </w:p>
    <w:p w14:paraId="66F4B21A" w14:textId="3C0A2937" w:rsidR="006A3583" w:rsidRDefault="00525FA9" w:rsidP="006A3583">
      <w:pPr>
        <w:ind w:firstLine="720"/>
      </w:pPr>
      <w:r w:rsidRPr="0000658B">
        <w:t xml:space="preserve">Using data from all 222 </w:t>
      </w:r>
      <w:r w:rsidR="00D76485">
        <w:t xml:space="preserve">Phase 1 </w:t>
      </w:r>
      <w:r>
        <w:t>survey respondents, we explore</w:t>
      </w:r>
      <w:r w:rsidR="00056045">
        <w:t>d</w:t>
      </w:r>
      <w:r>
        <w:t xml:space="preserve"> the nuance</w:t>
      </w:r>
      <w:r w:rsidR="00D76485">
        <w:t>d</w:t>
      </w:r>
      <w:r>
        <w:t xml:space="preserve"> feeling</w:t>
      </w:r>
      <w:r w:rsidR="00D76485">
        <w:t>s</w:t>
      </w:r>
      <w:r>
        <w:t xml:space="preserve"> surrounding visitation while in prison. Motivated by narratives provided </w:t>
      </w:r>
      <w:r w:rsidRPr="00BF44B1">
        <w:t>by Owen (1998)</w:t>
      </w:r>
      <w:r>
        <w:t xml:space="preserve"> suggesting complicated and sometimes negative feelings regarding visitation, a small subset of questions in the </w:t>
      </w:r>
      <w:r w:rsidR="00D76485">
        <w:t>survey</w:t>
      </w:r>
      <w:r>
        <w:t xml:space="preserve"> instrument explored respondents’ feelings about visitation. </w:t>
      </w:r>
      <w:r w:rsidR="006A3583" w:rsidRPr="002C4709">
        <w:t xml:space="preserve">When visitation has been studied, it has been typically considered as an element of the inmate experience that </w:t>
      </w:r>
      <w:r w:rsidR="006A3583">
        <w:t>precedes</w:t>
      </w:r>
      <w:r w:rsidR="006A3583" w:rsidRPr="002C4709">
        <w:t xml:space="preserve"> other outcomes; such as misconduct and potential for success </w:t>
      </w:r>
      <w:r w:rsidR="006A3583">
        <w:t xml:space="preserve">or </w:t>
      </w:r>
      <w:r w:rsidR="006A3583" w:rsidRPr="00BF44B1">
        <w:t xml:space="preserve">recidivism upon re-entry </w:t>
      </w:r>
      <w:r w:rsidR="006A3583" w:rsidRPr="00BF44B1">
        <w:fldChar w:fldCharType="begin" w:fldLock="1"/>
      </w:r>
      <w:r w:rsidR="006A3583" w:rsidRPr="00BF44B1">
        <w:instrText xml:space="preserve"> ADDIN ZOTERO_ITEM CSL_CITATION {"citationID":"Qbq2jxb5","properties":{"formattedCitation":"(Austin 2004; Cochran 2012; Duwe and Clark 2011; Mears et al. 2012; Morris et al. 2012; Siennick, Mears, and Bales 2013)","plainCitation":"(Austin 2004; Cochran 2012; Duwe and Clark 2011; Mears et al. 2012; Morris et al. 2012; Siennick, Mears, and Bales 2013)","noteIndex":0},"citationItems":[{"id":"oTofmXSj/bBhf2Cg1","uris":["http://www.mendeley.com/documents/?uuid=a01ba281-2d75-4d1d-8518-8fad766d46a7"],"uri":["http://www.mendeley.com/documents/?uuid=a01ba281-2d75-4d1d-8518-8fad766d46a7"],"itemData":{"author":[{"dropping-particle":"","family":"Austin","given":"Regina","non-dropping-particle":"","parse-names":false,"suffix":""}],"container-title":"Columbia Human Rights Law Review","id":"ITEM-4","issue":"1","issued":{"date-parts":[["2004"]]},"page":"173-192","title":"The Shame of It All: Stigma and the Political Disenfranchisement of Formerly Convicted and Incarcerated Persons","type":"article-journal","volume":"36"}},{"id":78,"uris":["http://zotero.org/users/5618005/items/VSSHPUSJ"],"uri":["http://zotero.org/users/5618005/items/VSSHPUSJ"],"itemData":{"id":78,"type":"article-journal","container-title":"Journal of Criminal Justice","DOI":"10.1016/j.jcrimjus.2012.06.001","ISSN":"0047-2352","issue":"5","page":"433–440","title":"The ties that bind or the ties that break: Examining the relationship between visitation and prisoner misconduct","volume":"40","author":[{"family":"Cochran","given":"Joshua C"}],"issued":{"date-parts":[["2012"]]}}},{"id":220,"uris":["http://zotero.org/users/5618005/items/FYZ659P2"],"uri":["http://zotero.org/users/5618005/items/FYZ659P2"],"itemData":{"id":220,"type":"article-journal","abstract":"Following recent studies in Florida and Canada, we examine the effects of prison visitation on recidivism among 16,420 offenders released from Minnesota prisons between 2003 and 2007. Using multiple measures of visitation (any visit, total number of visits, visits per month, timing of visits, and number of individual visitors) and recidivism (new offense conviction and technical violation revocation), we found that visitation significantly decreased the risk of recidivism, a result that was robust across all of the Cox regression models that were estimated. The results also showed that visits from siblings, in-laws, fathers, and clergy were the most beneficial in reducing the risk of recidivism, whereas visits from ex-spouses significantly increased the risk. The findings suggest that revising prison visitation policies to make them more “visitor friendly” could yield public safety benefits by helping offenders establish a continuum of social support from prison to the community. We anticipate, however, that revising existing policies would not likely increase visitation to a significant extent among unvisited inmates, who comprised 39% of our sample. Accordingly, we suggest that correctional systems consider allocating greater resources to increase visitation among inmates with little or no social support.","container-title":"Criminal Justice Policy Review","DOI":"10.1177/0887403411429724","issue":"3","page":"271–296","title":"Blessed Be the Social Tie That Binds: The Effects of Prison Visitation on Offender Recidivism","volume":"24","author":[{"family":"Duwe","given":"Grant"},{"family":"Clark","given":"Valerie"}],"issued":{"date-parts":[["2011"]]}}},{"id":"oTofmXSj/VuQP69Lu","uris":["http://www.mendeley.com/documents/?uuid=c1448a3f-b547-4997-a6bd-e15ed3b7c376"],"uri":["http://www.mendeley.com/documents/?uuid=c1448a3f-b547-4997-a6bd-e15ed3b7c376"],"itemData":{"abstract":"Scholars and policymakers have called for greater attention to understanding the causes of and solutions to improved prisoner reentry outcomes, resulting in renewed attention to a factor-prison visitation-tong believed to reduce recidivism. However, despite the theoretical arguments advanced on its behalf and increased calls for evidence-based policy, there remains little credible empirical research on whether a beneficial relationship between visitation and recidivism in fact exists. Against that backdrop, this study employs propensity score matching analyses to examine whether visitation of various types and in varying amounts, or \"doses,\" is in fact negatively associated with recidivism outcomes among a cohort of released prisoners. The analyses suggest that visi- tation has a small to modest effect in reducing recidivism of all types, espe- cially property offending, and that the effects may be most pronounced for spouse or significant other visitation. We discuss the implications of the findings for research and policy.","author":[{"dropping-particle":"","family":"Mears","given":"Daniel P","non-dropping-particle":"","parse-names":false,"suffix":""},{"dropping-particle":"","family":"Cochran","given":"Joshua C","non-dropping-particle":"","parse-names":false,"suffix":""},{"dropping-particle":"","family":"Siennick","given":"Sonja E","non-dropping-particle":"","parse-names":false,"suffix":""},{"dropping-particle":"","family":"Mears","given":"Daniel P","non-dropping-particle":"","parse-names":false,"suffix":""},{"dropping-particle":"","family":"Cochran","given":"Joshua C","non-dropping-particle":"","parse-names":false,"suffix":""},{"dropping-particle":"","family":"Siennick","given":"Sonja E","non-dropping-particle":"","parse-names":false,"suffix":""},{"dropping-particle":"","family":"Bales","given":"William D","non-dropping-particle":"","parse-names":false,"suffix":""}],"container-title":"Justice Quarterly","id":"ITEM-6","issue":"6","issued":{"date-parts":[["2012"]]},"page":"888-918","title":"Prison Visitation and Recidivism","type":"article-journal","volume":"29"}},{"id":66,"uris":["http://zotero.org/users/5618005/items/UGSUDMRF"],"uri":["http://zotero.org/users/5618005/items/UGSUDMRF"],"itemData":{"id":66,"type":"article-journal","abstract":"Purpose: This paper applies macro-micro General Strain Theory (GST) to predict prisoner misconduct. It is hypothesized that prison-based strain will adversely affect inmates and increase their misconduct. Methods: Data from a large southern state are used to examine how environmental strain measured at the prison level influence inmates' violent misconduct. Analyses will include a group-based trajectory model on monthly counts of violent misconduct for the first three years of incarceration and assess whether the strain of the environment (using a latent measure of prison deprivation as a proxy for environmental strain) distinguishes between trajectories. The analysis will employ finite multilevel mixture modeling with envi- ronmental strain as both a within- and between-class predictor, but at the prison level. Results: Findings suggest that prison strain is positively associated with prison misconduct; however, the magnitude of the effect varies across distinct inmate trajectories. Conclusions: Theoretical and practical implications are highlighted as are directions for future research.","container-title":"Journal of Criminal Justice","DOI":"10.1016/j.jcrimjus.2011.12.001","ISSN":"0047-2352","issue":"3","page":"194–201","title":"Does prison strain lead to prison misbehavior? An application of general strain theory to inmate misconduct","volume":"40","author":[{"family":"Morris","given":"Robert G"},{"family":"Carriaga","given":"Michael L"},{"family":"Diamond","given":"Brie"},{"family":"Piquero","given":"Nicole Leeper"},{"family":"Piquero","given":"Alex R"}],"issued":{"date-parts":[["2012"]]}}},{"id":59,"uris":["http://zotero.org/users/5618005/items/VMYHJGPB"],"uri":["http://zotero.org/users/5618005/items/VMYHJGPB"],"itemData":{"id":59,"type":"article-journal","abstract":"Objectives: This study examines the effect of prison visitation on the probability of inmate misconduct. Method: Our sample is an admissions cohort of over 7,000 inmates admitted to Florida correctional facilities between 2000 and 2002. The authors conducted multilevel analyses of the week-to-week association between officially recorded disciplinary infrac- tions and prison visits, including spousal, significant other, parental, relative, and friend visits. Results: The probability of an in-prison infraction declines in anticipation of visits, increases immediately following visits, and then gradu- ally declines to average levels. This pattern is relatively consistent across vis- itors and infraction types but is strongest for spousal visits and contraband infractions. More frequent visits are associated with a more rapid postvisit decline. Conclusions: If visits reduce the pains of imprisonment or increase social control, then these effects may be too short-lived to create lasting improvements in the behavior of individuals while incarcerated. Future research should attempt to replicate and explain these findings and examine the longer term effects of visitation on inmate adjustment during and after incarceration.","container-title":"Journal of Research in Crime and Delinquency","DOI":"10.1177/0022427812449470","issue":"3","page":"417–444","title":"Here and Gone: Anticipation and Separation Effects of Prison Visits on Inmate Infractions","volume":"50","author":[{"family":"Siennick","given":"Sonja E"},{"family":"Mears","given":"Daniel P"},{"family":"Bales","given":"William D"}],"issued":{"date-parts":[["2013"]]}}}],"schema":"https://github.com/citation-style-language/schema/raw/master/csl-citation.json"} </w:instrText>
      </w:r>
      <w:r w:rsidR="006A3583" w:rsidRPr="00BF44B1">
        <w:fldChar w:fldCharType="separate"/>
      </w:r>
      <w:r w:rsidR="006A3583" w:rsidRPr="00BF44B1">
        <w:rPr>
          <w:rFonts w:cs="Times New Roman"/>
        </w:rPr>
        <w:t>(</w:t>
      </w:r>
      <w:r w:rsidR="00BF44B1" w:rsidRPr="00BF44B1">
        <w:rPr>
          <w:rFonts w:cs="Times New Roman"/>
        </w:rPr>
        <w:t xml:space="preserve">see </w:t>
      </w:r>
      <w:r w:rsidR="006A3583" w:rsidRPr="00BF44B1">
        <w:rPr>
          <w:rFonts w:cs="Times New Roman"/>
        </w:rPr>
        <w:t xml:space="preserve">Siennick, Mears, </w:t>
      </w:r>
      <w:r w:rsidR="00D76485" w:rsidRPr="00BF44B1">
        <w:rPr>
          <w:rFonts w:cs="Times New Roman"/>
        </w:rPr>
        <w:t>&amp;</w:t>
      </w:r>
      <w:r w:rsidR="006A3583" w:rsidRPr="00BF44B1">
        <w:rPr>
          <w:rFonts w:cs="Times New Roman"/>
        </w:rPr>
        <w:t xml:space="preserve"> Bales</w:t>
      </w:r>
      <w:r w:rsidR="00D76485" w:rsidRPr="00BF44B1">
        <w:rPr>
          <w:rFonts w:cs="Times New Roman"/>
        </w:rPr>
        <w:t>,</w:t>
      </w:r>
      <w:r w:rsidR="006A3583" w:rsidRPr="00BF44B1">
        <w:rPr>
          <w:rFonts w:cs="Times New Roman"/>
        </w:rPr>
        <w:t xml:space="preserve"> 2013)</w:t>
      </w:r>
      <w:r w:rsidR="006A3583" w:rsidRPr="00BF44B1">
        <w:fldChar w:fldCharType="end"/>
      </w:r>
      <w:r w:rsidR="006A3583" w:rsidRPr="00BF44B1">
        <w:t>. The little research in which</w:t>
      </w:r>
      <w:r w:rsidR="006A3583" w:rsidRPr="002C4709">
        <w:t xml:space="preserve"> visitation is the outcome has been primarily descriptive </w:t>
      </w:r>
      <w:r w:rsidR="006A3583" w:rsidRPr="00BF44B1">
        <w:fldChar w:fldCharType="begin" w:fldLock="1"/>
      </w:r>
      <w:r w:rsidR="006A3583" w:rsidRPr="00BF44B1">
        <w:instrText xml:space="preserve"> ADDIN ZOTERO_ITEM CSL_CITATION {"citationID":"wkrDwAS9","properties":{"formattedCitation":"(Casey-Acevedo and Bakken 2002)","plainCitation":"(Casey-Acevedo and Bakken 2002)","noteIndex":0},"citationItems":[{"id":"oTofmXSj/uqZ4DNFf","uris":["http://www.mendeley.com/documents/?uuid=f6aaf0b9-ce87-4168-8909-fd3fbc272dee"],"uri":["http://www.mendeley.com/documents/?uuid=f6aaf0b9-ce87-4168-8909-fd3fbc272dee"],"itemData":{"author":[{"dropping-particle":"","family":"Casey-Acevedo","given":"Karen","non-dropping-particle":"","parse-names":false,"suffix":""},{"dropping-particle":"","family":"Bakken","given":"Tim","non-dropping-particle":"","parse-names":false,"suffix":""}],"container-title":"Journal of Offender Rehabilitation","id":"ITEM-1","issue":"3","issued":{"date-parts":[["2002"]]},"page":"67-83","title":"Visiting women in prison: Who visits and who cares?","type":"article-journal","volume":"34"}}],"schema":"https://github.com/citation-style-language/schema/raw/master/csl-citation.json"} </w:instrText>
      </w:r>
      <w:r w:rsidR="006A3583" w:rsidRPr="00BF44B1">
        <w:fldChar w:fldCharType="separate"/>
      </w:r>
      <w:r w:rsidR="006A3583" w:rsidRPr="00BF44B1">
        <w:rPr>
          <w:rFonts w:cs="Times New Roman"/>
        </w:rPr>
        <w:t xml:space="preserve">(Casey-Acevedo </w:t>
      </w:r>
      <w:r w:rsidR="00D76485" w:rsidRPr="00BF44B1">
        <w:rPr>
          <w:rFonts w:cs="Times New Roman"/>
        </w:rPr>
        <w:t>&amp;</w:t>
      </w:r>
      <w:r w:rsidR="006A3583" w:rsidRPr="00BF44B1">
        <w:rPr>
          <w:rFonts w:cs="Times New Roman"/>
        </w:rPr>
        <w:t xml:space="preserve"> Bakken</w:t>
      </w:r>
      <w:r w:rsidR="00D76485" w:rsidRPr="00BF44B1">
        <w:rPr>
          <w:rFonts w:cs="Times New Roman"/>
        </w:rPr>
        <w:t>,</w:t>
      </w:r>
      <w:r w:rsidR="006A3583" w:rsidRPr="00BF44B1">
        <w:rPr>
          <w:rFonts w:cs="Times New Roman"/>
        </w:rPr>
        <w:t xml:space="preserve"> 2002)</w:t>
      </w:r>
      <w:r w:rsidR="006A3583" w:rsidRPr="00BF44B1">
        <w:fldChar w:fldCharType="end"/>
      </w:r>
      <w:r w:rsidR="006A3583" w:rsidRPr="00BF44B1">
        <w:t>,</w:t>
      </w:r>
      <w:r w:rsidR="006A3583" w:rsidRPr="00F86209">
        <w:t xml:space="preserve"> </w:t>
      </w:r>
      <w:r w:rsidR="006A3583" w:rsidRPr="002C4709">
        <w:t xml:space="preserve">or it has focused on structural deprivation, such as the distance a visitor must travel to see the prison </w:t>
      </w:r>
      <w:r w:rsidR="006A3583" w:rsidRPr="002C4709">
        <w:fldChar w:fldCharType="begin" w:fldLock="1"/>
      </w:r>
      <w:r w:rsidR="006A3583">
        <w:instrText xml:space="preserve"> ADDIN ZOTERO_ITEM CSL_CITATION {"citationID":"38jO4WLc","properties":{"formattedCitation":"(Clark and Duwe 2017)","plainCitation":"(Clark and Duwe 2017)","noteIndex":0},"citationItems":[{"id":"oTofmXSj/ROZRNKPW","uris":["http://www.mendeley.com/documents/?uuid=076d64c2-2055-495b-b00e-6798b6fca5ea"],"uri":["http://www.mendeley.com/documents/?uuid=076d64c2-2055-495b-b00e-6798b6fca5ea"],"itemData":{"DOI":"10.1177/0093854816667416","abstract":"One of the untested assumptions within the prison visitation literature is that inmates receive fewer visits when visitors must travel long distances to prisons. Measuring distance by comparing the addresses of the prisons where offenders were confined with the residential addresses of those who visited them, we tested this hypothesis by estimating the effects of distance on the number of times Minnesota prisoners were visited. we estimated the effects of distance by performing multilevel repeated measure analyses, measuring the frequency of visitation across the different facilities at which inmates were housed, the dif- ferent neighborhoods from which they received visits, and between-inmate differences in visitation frequency. Besides dis- tance, we also estimated the effects of social disorganization on the frequency of visitation. Finding that distance does indeed decrease the frequency of prison visitation, as does concentrated disadvantage in neighborhoods, we discuss the implications of this research for prison administrative policies. Keywords:","author":[{"dropping-particle":"","family":"Clark","given":"Valerie A","non-dropping-particle":"","parse-names":false,"suffix":""},{"dropping-particle":"","family":"Duwe","given":"Grant","non-dropping-particle":"","parse-names":false,"suffix":""}],"container-title":"Criminal Justice and Behavior","id":"ITEM-1","issue":"2","issued":{"date-parts":[["2017"]]},"page":"184-204","title":"Distance Matters: Examining the Factors That Impact Prisoner Visitation in Minnesota","type":"article-journal","volume":"44"}}],"schema":"https://github.com/citation-style-language/schema/raw/master/csl-citation.json"} </w:instrText>
      </w:r>
      <w:r w:rsidR="006A3583" w:rsidRPr="002C4709">
        <w:fldChar w:fldCharType="separate"/>
      </w:r>
      <w:r w:rsidR="006A3583" w:rsidRPr="00B02953">
        <w:rPr>
          <w:rFonts w:cs="Times New Roman"/>
        </w:rPr>
        <w:t xml:space="preserve">(Clark </w:t>
      </w:r>
      <w:r w:rsidR="00D76485">
        <w:rPr>
          <w:rFonts w:cs="Times New Roman"/>
        </w:rPr>
        <w:t>&amp;</w:t>
      </w:r>
      <w:r w:rsidR="006A3583" w:rsidRPr="00B02953">
        <w:rPr>
          <w:rFonts w:cs="Times New Roman"/>
        </w:rPr>
        <w:t xml:space="preserve"> Duwe</w:t>
      </w:r>
      <w:r w:rsidR="00D76485">
        <w:rPr>
          <w:rFonts w:cs="Times New Roman"/>
        </w:rPr>
        <w:t>,</w:t>
      </w:r>
      <w:r w:rsidR="006A3583" w:rsidRPr="00B02953">
        <w:rPr>
          <w:rFonts w:cs="Times New Roman"/>
        </w:rPr>
        <w:t xml:space="preserve"> 2017)</w:t>
      </w:r>
      <w:r w:rsidR="006A3583" w:rsidRPr="002C4709">
        <w:fldChar w:fldCharType="end"/>
      </w:r>
      <w:r w:rsidR="006A3583" w:rsidRPr="00F86209">
        <w:t>. While structural impediments undoubtedly play a substantial role in the prevention</w:t>
      </w:r>
      <w:r w:rsidR="006A3583" w:rsidRPr="002C4709">
        <w:t xml:space="preserve"> of visitation, </w:t>
      </w:r>
      <w:r w:rsidR="006A3583">
        <w:t>those who are incarcerated</w:t>
      </w:r>
      <w:r w:rsidR="006A3583" w:rsidRPr="002C4709">
        <w:t xml:space="preserve"> can exercise some agency in the visitation they experience, i.e. adding or withholding names to their visitation lists </w:t>
      </w:r>
      <w:r w:rsidR="006A3583" w:rsidRPr="002C4709">
        <w:fldChar w:fldCharType="begin" w:fldLock="1"/>
      </w:r>
      <w:r w:rsidR="006A3583">
        <w:instrText xml:space="preserve"> ADDIN ZOTERO_ITEM CSL_CITATION {"citationID":"6Z7ruyK7","properties":{"formattedCitation":"(Boudin, Stutz, and Littman 2013)","plainCitation":"(Boudin, Stutz, and Littman 2013)","noteIndex":0},"citationItems":[{"id":"oTofmXSj/2ikxgVR1","uris":["http://www.mendeley.com/documents/?uuid=9c113d12-b7a0-423b-bb02-61b9e7ae9ab2"],"uri":["http://www.mendeley.com/documents/?uuid=9c113d12-b7a0-423b-bb02-61b9e7ae9ab2"],"itemData":{"author":[{"dropping-particle":"","family":"Boudin","given":"Chesa","non-dropping-particle":"","parse-names":false,"suffix":""},{"dropping-particle":"","family":"Stutz","given":"Trevor","non-dropping-particle":"","parse-names":false,"suffix":""},{"dropping-particle":"","family":"Littman","given":"Aaron","non-dropping-particle":"","parse-names":false,"suffix":""}],"container-title":"Yale Law and Policy Review","id":"ITEM-1","issued":{"date-parts":[["2013"]]},"page":"149-189","title":"Prison Visitation Policies: A Fifty-State Survey","type":"article-journal","volume":"32"}}],"schema":"https://github.com/citation-style-language/schema/raw/master/csl-citation.json"} </w:instrText>
      </w:r>
      <w:r w:rsidR="006A3583" w:rsidRPr="002C4709">
        <w:fldChar w:fldCharType="separate"/>
      </w:r>
      <w:r w:rsidR="006A3583" w:rsidRPr="00B02953">
        <w:rPr>
          <w:rFonts w:cs="Times New Roman"/>
        </w:rPr>
        <w:t xml:space="preserve">(Boudin, Stutz, </w:t>
      </w:r>
      <w:r w:rsidR="00D76485">
        <w:rPr>
          <w:rFonts w:cs="Times New Roman"/>
        </w:rPr>
        <w:t>&amp;</w:t>
      </w:r>
      <w:r w:rsidR="006A3583" w:rsidRPr="00B02953">
        <w:rPr>
          <w:rFonts w:cs="Times New Roman"/>
        </w:rPr>
        <w:t xml:space="preserve"> Littman</w:t>
      </w:r>
      <w:r w:rsidR="00D76485">
        <w:rPr>
          <w:rFonts w:cs="Times New Roman"/>
        </w:rPr>
        <w:t>,</w:t>
      </w:r>
      <w:r w:rsidR="006A3583" w:rsidRPr="00B02953">
        <w:rPr>
          <w:rFonts w:cs="Times New Roman"/>
        </w:rPr>
        <w:t xml:space="preserve"> 2013)</w:t>
      </w:r>
      <w:r w:rsidR="006A3583" w:rsidRPr="002C4709">
        <w:fldChar w:fldCharType="end"/>
      </w:r>
      <w:r w:rsidR="006A3583" w:rsidRPr="00F86209">
        <w:t>. Furthermore, some evidence exists suppor</w:t>
      </w:r>
      <w:r w:rsidR="006A3583" w:rsidRPr="002C4709">
        <w:t xml:space="preserve">ting the idea that </w:t>
      </w:r>
      <w:r w:rsidR="006A3583">
        <w:t>people in prison</w:t>
      </w:r>
      <w:r w:rsidR="006A3583" w:rsidRPr="002C4709">
        <w:t xml:space="preserve"> may wish to shield themselves from being seen by their loved ones while incarcerated </w:t>
      </w:r>
      <w:r w:rsidR="006A3583" w:rsidRPr="002C4709">
        <w:fldChar w:fldCharType="begin" w:fldLock="1"/>
      </w:r>
      <w:r w:rsidR="006A3583">
        <w:instrText xml:space="preserve"> ADDIN ZOTERO_ITEM CSL_CITATION {"citationID":"IrG3VA1G","properties":{"formattedCitation":"(Owen 1998)","plainCitation":"(Owen 1998)","noteIndex":0},"citationItems":[{"id":"oTofmXSj/tk9MFkPA","uris":["http://www.mendeley.com/documents/?uuid=bd8bd6e9-9cd9-436d-9ea7-98c64548a0b6"],"uri":["http://www.mendeley.com/documents/?uuid=bd8bd6e9-9cd9-436d-9ea7-98c64548a0b6"],"itemData":{"author":[{"dropping-particle":"","family":"Owen","given":"Barbra A.","non-dropping-particle":"","parse-names":false,"suffix":""}],"id":"ITEM-1","issued":{"date-parts":[["1998"]]},"publisher":"SUNY Press","publisher-place":"New York, NY","title":"In the mix: Struggle and survival in a women's prison","type":"book"}}],"schema":"https://github.com/citation-style-language/schema/raw/master/csl-citation.json"} </w:instrText>
      </w:r>
      <w:r w:rsidR="006A3583" w:rsidRPr="002C4709">
        <w:fldChar w:fldCharType="separate"/>
      </w:r>
      <w:r w:rsidR="006A3583" w:rsidRPr="00B02953">
        <w:rPr>
          <w:rFonts w:cs="Times New Roman"/>
        </w:rPr>
        <w:t>(Owen</w:t>
      </w:r>
      <w:r w:rsidR="00D76485">
        <w:rPr>
          <w:rFonts w:cs="Times New Roman"/>
        </w:rPr>
        <w:t>,</w:t>
      </w:r>
      <w:r w:rsidR="006A3583" w:rsidRPr="00B02953">
        <w:rPr>
          <w:rFonts w:cs="Times New Roman"/>
        </w:rPr>
        <w:t xml:space="preserve"> 1998)</w:t>
      </w:r>
      <w:r w:rsidR="006A3583" w:rsidRPr="002C4709">
        <w:fldChar w:fldCharType="end"/>
      </w:r>
      <w:r w:rsidR="006A3583" w:rsidRPr="00F86209">
        <w:t xml:space="preserve">. To supplement </w:t>
      </w:r>
      <w:r w:rsidR="006A3583">
        <w:t xml:space="preserve">a theoretical explanation for visitation patterns provided by the deprivation theory of incarceration </w:t>
      </w:r>
      <w:r w:rsidR="006A3583">
        <w:fldChar w:fldCharType="begin"/>
      </w:r>
      <w:r w:rsidR="006A3583">
        <w:instrText xml:space="preserve"> ADDIN ZOTERO_ITEM CSL_CITATION {"citationID":"nK35eQxb","properties":{"formattedCitation":"(Sykes 1958)","plainCitation":"(Sykes 1958)","noteIndex":0},"citationItems":[{"id":"oTofmXSj/OV8PFouy","uris":["http://www.mendeley.com/documents/?uuid=998b0057-847e-4ba0-b3dd-462635827ce3"],"uri":["http://www.mendeley.com/documents/?uuid=998b0057-847e-4ba0-b3dd-462635827ce3"],"itemData":{"author":[{"dropping-particle":"","family":"Sykes","given":"Gresham","non-dropping-particle":"","parse-names":false,"suffix":""}],"id":"sZFQMZCF/RDJANKRs","issued":{"date-parts":[["1958"]]},"publisher":"Princeton University Press","publisher-place":"Princeton, NJ","title":"The society of captives: A study of a maximum security prison","type":"book"}}],"schema":"https://github.com/citation-style-language/schema/raw/master/csl-citation.json"} </w:instrText>
      </w:r>
      <w:r w:rsidR="006A3583">
        <w:fldChar w:fldCharType="separate"/>
      </w:r>
      <w:r w:rsidR="006A3583" w:rsidRPr="00B02953">
        <w:rPr>
          <w:rFonts w:cs="Times New Roman"/>
        </w:rPr>
        <w:t>(Sykes</w:t>
      </w:r>
      <w:r w:rsidR="00D76485">
        <w:rPr>
          <w:rFonts w:cs="Times New Roman"/>
        </w:rPr>
        <w:t>,</w:t>
      </w:r>
      <w:r w:rsidR="006A3583" w:rsidRPr="00B02953">
        <w:rPr>
          <w:rFonts w:cs="Times New Roman"/>
        </w:rPr>
        <w:t xml:space="preserve"> 1958)</w:t>
      </w:r>
      <w:r w:rsidR="006A3583">
        <w:fldChar w:fldCharType="end"/>
      </w:r>
      <w:r w:rsidR="006A3583" w:rsidRPr="00F86209">
        <w:t xml:space="preserve">, </w:t>
      </w:r>
      <w:r w:rsidR="006A3583">
        <w:t>we</w:t>
      </w:r>
      <w:r w:rsidR="006A3583" w:rsidRPr="00F86209">
        <w:t xml:space="preserve"> </w:t>
      </w:r>
      <w:r w:rsidR="006A3583" w:rsidRPr="002C4709">
        <w:t>describe</w:t>
      </w:r>
      <w:r w:rsidR="00A36CDB">
        <w:t>d</w:t>
      </w:r>
      <w:r w:rsidR="006A3583" w:rsidRPr="002C4709">
        <w:t xml:space="preserve"> how </w:t>
      </w:r>
      <w:r w:rsidR="006A3583">
        <w:t>stigma</w:t>
      </w:r>
      <w:r w:rsidR="006A3583" w:rsidRPr="002C4709">
        <w:t xml:space="preserve"> theory</w:t>
      </w:r>
      <w:r w:rsidR="006A3583">
        <w:t xml:space="preserve"> </w:t>
      </w:r>
      <w:r w:rsidR="006A3583">
        <w:fldChar w:fldCharType="begin"/>
      </w:r>
      <w:r w:rsidR="006A3583">
        <w:instrText xml:space="preserve"> ADDIN ZOTERO_ITEM CSL_CITATION {"citationID":"qAJlgqMe","properties":{"formattedCitation":"(Goffman 1963)","plainCitation":"(Goffman 1963)","noteIndex":0},"citationItems":[{"id":"oTofmXSj/JbsaEwgn","uris":["http://www.mendeley.com/documents/?uuid=b028ba78-5a87-49ee-9352-e1f53631302e"],"uri":["http://www.mendeley.com/documents/?uuid=b028ba78-5a87-49ee-9352-e1f53631302e"],"itemData":{"author":[{"dropping-particle":"","family":"Goffman","given":"Erving","non-dropping-particle":"","parse-names":false,"suffix":""}],"id":"sZFQMZCF/FC79gqrZ","issued":{"date-parts":[["1963"]]},"publisher":"Simon and Schuster","publisher-place":"New York, NY","title":"Stigma: Notes on the Management of Spoiled Identity","type":"book"}}],"schema":"https://github.com/citation-style-language/schema/raw/master/csl-citation.json"} </w:instrText>
      </w:r>
      <w:r w:rsidR="006A3583">
        <w:fldChar w:fldCharType="separate"/>
      </w:r>
      <w:r w:rsidR="006A3583" w:rsidRPr="00B02953">
        <w:rPr>
          <w:rFonts w:cs="Times New Roman"/>
        </w:rPr>
        <w:t>(</w:t>
      </w:r>
      <w:r w:rsidR="006A3583" w:rsidRPr="00BF44B1">
        <w:rPr>
          <w:rFonts w:cs="Times New Roman"/>
        </w:rPr>
        <w:t>Goffman</w:t>
      </w:r>
      <w:r w:rsidR="00D76485" w:rsidRPr="00BF44B1">
        <w:rPr>
          <w:rFonts w:cs="Times New Roman"/>
        </w:rPr>
        <w:t>,</w:t>
      </w:r>
      <w:r w:rsidR="006A3583" w:rsidRPr="00BF44B1">
        <w:rPr>
          <w:rFonts w:cs="Times New Roman"/>
        </w:rPr>
        <w:t xml:space="preserve"> 1963</w:t>
      </w:r>
      <w:r w:rsidR="006A3583" w:rsidRPr="00B02953">
        <w:rPr>
          <w:rFonts w:cs="Times New Roman"/>
        </w:rPr>
        <w:t>)</w:t>
      </w:r>
      <w:r w:rsidR="006A3583">
        <w:fldChar w:fldCharType="end"/>
      </w:r>
      <w:r w:rsidR="006A3583" w:rsidRPr="002C4709">
        <w:t xml:space="preserve"> can help explain why an incarcerated person might choose to forego visitation that </w:t>
      </w:r>
      <w:r w:rsidR="006A3583">
        <w:t>would otherwise be seen to</w:t>
      </w:r>
      <w:r w:rsidR="006A3583" w:rsidRPr="002C4709">
        <w:t xml:space="preserve"> bring them comfort. In sum, this </w:t>
      </w:r>
      <w:r w:rsidR="006A3583">
        <w:t>portion of our research</w:t>
      </w:r>
      <w:r w:rsidR="006A3583" w:rsidRPr="002C4709">
        <w:t xml:space="preserve"> expand</w:t>
      </w:r>
      <w:r w:rsidR="00A36CDB">
        <w:t>ed</w:t>
      </w:r>
      <w:r w:rsidR="006A3583" w:rsidRPr="002C4709">
        <w:t xml:space="preserve"> the current understanding of prison visitation in two ways.</w:t>
      </w:r>
      <w:r w:rsidR="00C42ECB">
        <w:rPr>
          <w:rStyle w:val="FootnoteReference"/>
        </w:rPr>
        <w:footnoteReference w:id="4"/>
      </w:r>
      <w:r w:rsidR="006A3583" w:rsidRPr="002C4709">
        <w:t xml:space="preserve"> First, by combining data from the Pennsylvania Department of Corrections (PADOC) and unique survey data, </w:t>
      </w:r>
      <w:r w:rsidR="006A3583">
        <w:t>we</w:t>
      </w:r>
      <w:r w:rsidR="006A3583" w:rsidRPr="002C4709">
        <w:t xml:space="preserve"> both qualitatively analyze</w:t>
      </w:r>
      <w:r w:rsidR="00A36CDB">
        <w:t>d</w:t>
      </w:r>
      <w:r w:rsidR="006A3583" w:rsidRPr="002C4709">
        <w:t xml:space="preserve"> open ended responses, and model</w:t>
      </w:r>
      <w:r w:rsidR="00A36CDB">
        <w:t>ed</w:t>
      </w:r>
      <w:r w:rsidR="006A3583" w:rsidRPr="002C4709">
        <w:t xml:space="preserve"> overall </w:t>
      </w:r>
      <w:r w:rsidR="006A3583">
        <w:t>sentiment regarding</w:t>
      </w:r>
      <w:r w:rsidR="006A3583" w:rsidRPr="002C4709">
        <w:t xml:space="preserve"> visitation. Second, </w:t>
      </w:r>
      <w:r w:rsidR="006A3583">
        <w:t>we</w:t>
      </w:r>
      <w:r w:rsidR="006A3583" w:rsidRPr="002C4709">
        <w:t xml:space="preserve"> show</w:t>
      </w:r>
      <w:r w:rsidR="00A36CDB">
        <w:t>ed</w:t>
      </w:r>
      <w:r w:rsidR="006A3583" w:rsidRPr="002C4709">
        <w:t xml:space="preserve"> the nuance in the individual experience of visitation, challenging the assumption that visitation is innately comforting and desirable</w:t>
      </w:r>
      <w:r w:rsidR="006A3583">
        <w:t xml:space="preserve"> with narratives provide by incarcerated women</w:t>
      </w:r>
      <w:r w:rsidR="00843DAD">
        <w:t>.</w:t>
      </w:r>
      <w:r w:rsidR="001D5FD4">
        <w:t xml:space="preserve"> </w:t>
      </w:r>
      <w:r w:rsidR="00501BB9">
        <w:t xml:space="preserve"> </w:t>
      </w:r>
    </w:p>
    <w:p w14:paraId="6A3826E7" w14:textId="777DE6FD" w:rsidR="005B6F5E" w:rsidRDefault="001918F2" w:rsidP="005B6F5E">
      <w:pPr>
        <w:ind w:firstLine="720"/>
        <w:rPr>
          <w:rFonts w:cs="Times New Roman"/>
        </w:rPr>
      </w:pPr>
      <w:r>
        <w:rPr>
          <w:rFonts w:cs="Times New Roman"/>
        </w:rPr>
        <w:t xml:space="preserve">The overall coding </w:t>
      </w:r>
      <w:r w:rsidR="00A36CDB">
        <w:rPr>
          <w:rFonts w:cs="Times New Roman"/>
        </w:rPr>
        <w:t>of visitation perceptions was</w:t>
      </w:r>
      <w:r>
        <w:rPr>
          <w:rFonts w:cs="Times New Roman"/>
        </w:rPr>
        <w:t xml:space="preserve"> drawn from a single stem question of </w:t>
      </w:r>
      <w:r w:rsidRPr="009974E0">
        <w:rPr>
          <w:rFonts w:cs="Times New Roman"/>
          <w:i/>
          <w:iCs/>
        </w:rPr>
        <w:t>“What are your feelings about people visiting you in prison?</w:t>
      </w:r>
      <w:r>
        <w:rPr>
          <w:rFonts w:cs="Times New Roman"/>
          <w:i/>
          <w:iCs/>
        </w:rPr>
        <w:t>”</w:t>
      </w:r>
      <w:r w:rsidR="00A36CDB">
        <w:rPr>
          <w:rFonts w:cs="Times New Roman"/>
          <w:i/>
          <w:iCs/>
        </w:rPr>
        <w:t xml:space="preserve"> </w:t>
      </w:r>
      <w:r w:rsidR="00A36CDB">
        <w:rPr>
          <w:rFonts w:cs="Times New Roman"/>
        </w:rPr>
        <w:t>Responses were then</w:t>
      </w:r>
      <w:r>
        <w:rPr>
          <w:rFonts w:cs="Times New Roman"/>
        </w:rPr>
        <w:t xml:space="preserve"> cod</w:t>
      </w:r>
      <w:r w:rsidR="00A36CDB">
        <w:rPr>
          <w:rFonts w:cs="Times New Roman"/>
        </w:rPr>
        <w:t>ed</w:t>
      </w:r>
      <w:r>
        <w:rPr>
          <w:rFonts w:cs="Times New Roman"/>
        </w:rPr>
        <w:t xml:space="preserve"> as </w:t>
      </w:r>
      <w:r w:rsidRPr="002C4709">
        <w:rPr>
          <w:rFonts w:cs="Times New Roman"/>
        </w:rPr>
        <w:t xml:space="preserve">generally positive, mixed between positive and negative, generally negative, or coded as a response about </w:t>
      </w:r>
      <w:r w:rsidRPr="002C4709">
        <w:rPr>
          <w:rFonts w:cs="Times New Roman"/>
          <w:i/>
          <w:iCs/>
        </w:rPr>
        <w:t>not</w:t>
      </w:r>
      <w:r w:rsidRPr="002C4709">
        <w:rPr>
          <w:rFonts w:cs="Times New Roman"/>
        </w:rPr>
        <w:t xml:space="preserve"> </w:t>
      </w:r>
      <w:r w:rsidRPr="002C4709">
        <w:rPr>
          <w:rFonts w:cs="Times New Roman"/>
          <w:i/>
          <w:iCs/>
        </w:rPr>
        <w:t>receiving</w:t>
      </w:r>
      <w:r w:rsidRPr="002C4709">
        <w:rPr>
          <w:rFonts w:cs="Times New Roman"/>
        </w:rPr>
        <w:t xml:space="preserve"> visitation</w:t>
      </w:r>
      <w:r>
        <w:rPr>
          <w:rFonts w:cs="Times New Roman"/>
        </w:rPr>
        <w:t>, e.g., “…</w:t>
      </w:r>
      <w:r w:rsidRPr="0069689C">
        <w:rPr>
          <w:rFonts w:cs="Times New Roman"/>
          <w:i/>
          <w:iCs/>
        </w:rPr>
        <w:t>I'm like 8 hours away. And it's just too far away for them to come up here</w:t>
      </w:r>
      <w:r>
        <w:rPr>
          <w:rFonts w:cs="Times New Roman"/>
        </w:rPr>
        <w:t>”</w:t>
      </w:r>
      <w:r w:rsidRPr="002C4709">
        <w:rPr>
          <w:rFonts w:cs="Times New Roman"/>
        </w:rPr>
        <w:t xml:space="preserve">. The fourth category </w:t>
      </w:r>
      <w:r w:rsidR="00A36CDB">
        <w:rPr>
          <w:rFonts w:cs="Times New Roman"/>
        </w:rPr>
        <w:t>was</w:t>
      </w:r>
      <w:r w:rsidRPr="002C4709">
        <w:rPr>
          <w:rFonts w:cs="Times New Roman"/>
        </w:rPr>
        <w:t xml:space="preserve"> included as some respondents had not received any visits close to the time of data collection, and some respondents primarily considered visitation in its absence</w:t>
      </w:r>
      <w:r>
        <w:rPr>
          <w:rFonts w:cs="Times New Roman"/>
        </w:rPr>
        <w:t>,</w:t>
      </w:r>
      <w:r w:rsidRPr="002C4709">
        <w:rPr>
          <w:rFonts w:cs="Times New Roman"/>
        </w:rPr>
        <w:t xml:space="preserve"> even if they </w:t>
      </w:r>
      <w:r>
        <w:rPr>
          <w:rFonts w:cs="Times New Roman"/>
        </w:rPr>
        <w:t>had been recently visited. The coding of any preference against visitation</w:t>
      </w:r>
      <w:r w:rsidR="005B6F5E">
        <w:rPr>
          <w:rFonts w:cs="Times New Roman"/>
        </w:rPr>
        <w:t xml:space="preserve"> </w:t>
      </w:r>
      <w:r>
        <w:rPr>
          <w:rFonts w:cs="Times New Roman"/>
        </w:rPr>
        <w:t xml:space="preserve">was drawn from the same item stem, but also a leaf question inquiring about any different feelings about visitation for </w:t>
      </w:r>
      <w:r w:rsidR="005B6F5E">
        <w:rPr>
          <w:rFonts w:cs="Times New Roman"/>
        </w:rPr>
        <w:t xml:space="preserve">children, or close family members for those with no children. </w:t>
      </w:r>
      <w:r w:rsidR="006A3583" w:rsidRPr="00D55967">
        <w:rPr>
          <w:rFonts w:cs="Times New Roman"/>
        </w:rPr>
        <w:t xml:space="preserve">Table </w:t>
      </w:r>
      <w:r w:rsidR="00303F56">
        <w:rPr>
          <w:rFonts w:cs="Times New Roman"/>
        </w:rPr>
        <w:t>6</w:t>
      </w:r>
      <w:r w:rsidR="006A3583">
        <w:rPr>
          <w:rFonts w:cs="Times New Roman"/>
        </w:rPr>
        <w:t xml:space="preserve"> shows descriptive </w:t>
      </w:r>
      <w:r w:rsidR="005B6F5E">
        <w:rPr>
          <w:rFonts w:cs="Times New Roman"/>
        </w:rPr>
        <w:t xml:space="preserve">statistics for the outcome measures, as well as the independent predictors and covariates. </w:t>
      </w:r>
    </w:p>
    <w:p w14:paraId="69DFE963" w14:textId="537550CD" w:rsidR="005B6F5E" w:rsidRDefault="005B6F5E" w:rsidP="005B6F5E">
      <w:pPr>
        <w:ind w:firstLine="720"/>
        <w:rPr>
          <w:rFonts w:cs="Times New Roman"/>
        </w:rPr>
      </w:pPr>
      <w:r>
        <w:rPr>
          <w:rFonts w:cs="Times New Roman"/>
        </w:rPr>
        <w:t xml:space="preserve">The four chief independent variables </w:t>
      </w:r>
      <w:r w:rsidR="00A36CDB">
        <w:rPr>
          <w:rFonts w:cs="Times New Roman"/>
        </w:rPr>
        <w:t>were</w:t>
      </w:r>
      <w:r>
        <w:rPr>
          <w:rFonts w:cs="Times New Roman"/>
        </w:rPr>
        <w:t xml:space="preserve"> </w:t>
      </w:r>
      <w:r w:rsidR="00056045">
        <w:rPr>
          <w:rFonts w:cs="Times New Roman"/>
        </w:rPr>
        <w:t xml:space="preserve">(1) </w:t>
      </w:r>
      <w:r>
        <w:rPr>
          <w:rFonts w:cs="Times New Roman"/>
        </w:rPr>
        <w:t>hours of travel between the respondents</w:t>
      </w:r>
      <w:r w:rsidR="00303F56">
        <w:rPr>
          <w:rFonts w:cs="Times New Roman"/>
        </w:rPr>
        <w:t>’</w:t>
      </w:r>
      <w:r>
        <w:rPr>
          <w:rFonts w:cs="Times New Roman"/>
        </w:rPr>
        <w:t xml:space="preserve"> committing county and the prison</w:t>
      </w:r>
      <w:r w:rsidR="00056045">
        <w:rPr>
          <w:rFonts w:cs="Times New Roman"/>
        </w:rPr>
        <w:t>, (2)</w:t>
      </w:r>
      <w:r>
        <w:rPr>
          <w:rFonts w:cs="Times New Roman"/>
        </w:rPr>
        <w:t xml:space="preserve"> respondent’s perception of visitation as difficult for visitors, </w:t>
      </w:r>
      <w:r w:rsidR="00056045">
        <w:rPr>
          <w:rFonts w:cs="Times New Roman"/>
        </w:rPr>
        <w:t xml:space="preserve">(3) </w:t>
      </w:r>
      <w:r>
        <w:rPr>
          <w:rFonts w:cs="Times New Roman"/>
        </w:rPr>
        <w:t xml:space="preserve">the number of recent visits and </w:t>
      </w:r>
      <w:r w:rsidR="00056045">
        <w:rPr>
          <w:rFonts w:cs="Times New Roman"/>
        </w:rPr>
        <w:t xml:space="preserve">(4) </w:t>
      </w:r>
      <w:r>
        <w:rPr>
          <w:rFonts w:cs="Times New Roman"/>
        </w:rPr>
        <w:t xml:space="preserve">the number of ‘prison family’ nominations the respondent received as measures of external and internal social support </w:t>
      </w:r>
      <w:r w:rsidR="00056045">
        <w:rPr>
          <w:rFonts w:cs="Times New Roman"/>
        </w:rPr>
        <w:t>of</w:t>
      </w:r>
      <w:r>
        <w:rPr>
          <w:rFonts w:cs="Times New Roman"/>
        </w:rPr>
        <w:t xml:space="preserve"> the respondent. The two quantitative outcomes of predicted sentiment about visitation and preference against being visited </w:t>
      </w:r>
      <w:r w:rsidR="00A36CDB">
        <w:rPr>
          <w:rFonts w:cs="Times New Roman"/>
        </w:rPr>
        <w:t>were</w:t>
      </w:r>
      <w:r>
        <w:rPr>
          <w:rFonts w:cs="Times New Roman"/>
        </w:rPr>
        <w:t xml:space="preserve"> modeled to d</w:t>
      </w:r>
      <w:r w:rsidR="00056045">
        <w:rPr>
          <w:rFonts w:cs="Times New Roman"/>
        </w:rPr>
        <w:t>isc</w:t>
      </w:r>
      <w:r>
        <w:rPr>
          <w:rFonts w:cs="Times New Roman"/>
        </w:rPr>
        <w:t xml:space="preserve">ern the correlation between structural and social support measures on stigmatized and avoidant outcomes. </w:t>
      </w:r>
    </w:p>
    <w:p w14:paraId="16CCDF9D" w14:textId="668709CD" w:rsidR="00366C74" w:rsidRDefault="00366C74" w:rsidP="005B6F5E">
      <w:pPr>
        <w:ind w:firstLine="720"/>
        <w:rPr>
          <w:rFonts w:cs="Times New Roman"/>
        </w:rPr>
      </w:pPr>
      <w:r>
        <w:rPr>
          <w:rFonts w:cs="Times New Roman"/>
        </w:rPr>
        <w:t xml:space="preserve">Table </w:t>
      </w:r>
      <w:r w:rsidR="00303F56">
        <w:rPr>
          <w:rFonts w:cs="Times New Roman"/>
        </w:rPr>
        <w:t>6</w:t>
      </w:r>
      <w:r>
        <w:rPr>
          <w:rFonts w:cs="Times New Roman"/>
        </w:rPr>
        <w:t xml:space="preserve"> </w:t>
      </w:r>
      <w:r w:rsidR="00257F12">
        <w:rPr>
          <w:rFonts w:cs="Times New Roman"/>
        </w:rPr>
        <w:t>provides descriptive statistics</w:t>
      </w:r>
      <w:r>
        <w:rPr>
          <w:rFonts w:cs="Times New Roman"/>
        </w:rPr>
        <w:t xml:space="preserve"> for the control variables entered in each model. Age is measured in years at the time of interview, calculated using date of birth</w:t>
      </w:r>
      <w:r w:rsidR="00374B28">
        <w:rPr>
          <w:rFonts w:cs="Times New Roman"/>
        </w:rPr>
        <w:t xml:space="preserve"> taken from administrative records</w:t>
      </w:r>
      <w:r>
        <w:rPr>
          <w:rFonts w:cs="Times New Roman"/>
        </w:rPr>
        <w:t>. Respondent race is also drawn</w:t>
      </w:r>
      <w:r w:rsidR="00374B28">
        <w:rPr>
          <w:rFonts w:cs="Times New Roman"/>
        </w:rPr>
        <w:t xml:space="preserve"> from</w:t>
      </w:r>
      <w:r>
        <w:rPr>
          <w:rFonts w:cs="Times New Roman"/>
        </w:rPr>
        <w:t xml:space="preserve"> administrative records and collapses race into non-white and non-Hispanic white respondents due to low cell counts of non-white unit residents. The controlling offense gravity score (OGS) is a level of severity assigned to the top-charge of the sentence the respondent is serving. This measure is defined by the Pennsylvania Sentencing Guidelines and ranges from 1-18. It is included as a proxy for severity of crime. </w:t>
      </w:r>
      <w:r w:rsidR="007870DC">
        <w:rPr>
          <w:rFonts w:cs="Times New Roman"/>
        </w:rPr>
        <w:t xml:space="preserve">Years spent in PADOC is derived for institution movement records recording entrances and exits from the state prison system. Offense type is a simple classification distilled from the state penal code for the top-charge on the respondent’s sentence. Finally, the unit </w:t>
      </w:r>
      <w:r w:rsidR="00D00B2F">
        <w:rPr>
          <w:rFonts w:cs="Times New Roman"/>
        </w:rPr>
        <w:t>indicator</w:t>
      </w:r>
      <w:r w:rsidR="007870DC">
        <w:rPr>
          <w:rFonts w:cs="Times New Roman"/>
        </w:rPr>
        <w:t xml:space="preserve"> </w:t>
      </w:r>
      <w:r w:rsidR="00D00B2F">
        <w:rPr>
          <w:rFonts w:cs="Times New Roman"/>
        </w:rPr>
        <w:t>identifies the</w:t>
      </w:r>
      <w:r w:rsidR="007870DC">
        <w:rPr>
          <w:rFonts w:cs="Times New Roman"/>
        </w:rPr>
        <w:t xml:space="preserve"> unit </w:t>
      </w:r>
      <w:r w:rsidR="00D00B2F">
        <w:rPr>
          <w:rFonts w:cs="Times New Roman"/>
        </w:rPr>
        <w:t xml:space="preserve">that </w:t>
      </w:r>
      <w:r w:rsidR="007870DC">
        <w:rPr>
          <w:rFonts w:cs="Times New Roman"/>
        </w:rPr>
        <w:t>respondent</w:t>
      </w:r>
      <w:r w:rsidR="00D00B2F">
        <w:rPr>
          <w:rFonts w:cs="Times New Roman"/>
        </w:rPr>
        <w:t>s</w:t>
      </w:r>
      <w:r w:rsidR="007870DC">
        <w:rPr>
          <w:rFonts w:cs="Times New Roman"/>
        </w:rPr>
        <w:t xml:space="preserve"> resided </w:t>
      </w:r>
      <w:r w:rsidR="00D00B2F">
        <w:rPr>
          <w:rFonts w:cs="Times New Roman"/>
        </w:rPr>
        <w:t>i</w:t>
      </w:r>
      <w:r w:rsidR="007870DC">
        <w:rPr>
          <w:rFonts w:cs="Times New Roman"/>
        </w:rPr>
        <w:t xml:space="preserve">n </w:t>
      </w:r>
      <w:r w:rsidR="00D00B2F">
        <w:rPr>
          <w:rFonts w:cs="Times New Roman"/>
        </w:rPr>
        <w:t>at the time of the survey administration and</w:t>
      </w:r>
      <w:r w:rsidR="007870DC">
        <w:rPr>
          <w:rFonts w:cs="Times New Roman"/>
        </w:rPr>
        <w:t xml:space="preserve">. </w:t>
      </w:r>
    </w:p>
    <w:p w14:paraId="1A1A699D" w14:textId="658FDBBB" w:rsidR="005B6F5E" w:rsidRDefault="009974E0" w:rsidP="005B6F5E">
      <w:pPr>
        <w:ind w:firstLine="720"/>
        <w:rPr>
          <w:rFonts w:cs="Times New Roman"/>
        </w:rPr>
      </w:pPr>
      <w:r w:rsidRPr="00D55967">
        <w:rPr>
          <w:rFonts w:cs="Times New Roman"/>
        </w:rPr>
        <w:t>T</w:t>
      </w:r>
      <w:r w:rsidR="005B6F5E" w:rsidRPr="00D55967">
        <w:rPr>
          <w:rFonts w:cs="Times New Roman"/>
        </w:rPr>
        <w:t xml:space="preserve">able </w:t>
      </w:r>
      <w:r w:rsidR="00303F56">
        <w:rPr>
          <w:rFonts w:cs="Times New Roman"/>
        </w:rPr>
        <w:t>7</w:t>
      </w:r>
      <w:r w:rsidR="005B6F5E">
        <w:rPr>
          <w:rFonts w:cs="Times New Roman"/>
        </w:rPr>
        <w:t xml:space="preserve"> </w:t>
      </w:r>
      <w:r w:rsidR="005B6F5E">
        <w:t xml:space="preserve">presents exponentiated coefficients from the </w:t>
      </w:r>
      <w:proofErr w:type="gramStart"/>
      <w:r w:rsidR="005B6F5E">
        <w:t>fully</w:t>
      </w:r>
      <w:r w:rsidR="00056045">
        <w:t>-</w:t>
      </w:r>
      <w:r w:rsidR="005B6F5E">
        <w:t>constrained</w:t>
      </w:r>
      <w:proofErr w:type="gramEnd"/>
      <w:r w:rsidR="005B6F5E">
        <w:t xml:space="preserve"> multinomial logistic model which include</w:t>
      </w:r>
      <w:r w:rsidR="00A36CDB">
        <w:t>d</w:t>
      </w:r>
      <w:r w:rsidR="005B6F5E">
        <w:t xml:space="preserve"> all four predictor variables and the covariates for sample demographics and criminal justice controls. Perceived difficulty for visitors </w:t>
      </w:r>
      <w:r w:rsidR="00A36CDB">
        <w:t>was</w:t>
      </w:r>
      <w:r w:rsidR="005B6F5E">
        <w:t xml:space="preserve"> associated with a 2.8 factor increase in the likelihood of giving a mixed response relative to a positive response while holding the remaining variables constant, and again a 10 factor increase in giving a response about not receiving visitation relative to giving a positive response, net of the effect of other covariates. </w:t>
      </w:r>
      <w:r w:rsidR="00DA4622">
        <w:t xml:space="preserve">So, net of </w:t>
      </w:r>
      <w:r w:rsidR="00755644">
        <w:t xml:space="preserve">the influence of </w:t>
      </w:r>
      <w:r w:rsidR="00DA4622">
        <w:t xml:space="preserve">other covariates in the model, </w:t>
      </w:r>
      <w:r w:rsidR="0025060C">
        <w:t>when a respondent held the view that it was difficult for her visitors to come and see her, she was 2.8</w:t>
      </w:r>
      <w:r w:rsidR="00E35D43">
        <w:t xml:space="preserve"> times more likely to </w:t>
      </w:r>
      <w:r w:rsidR="00967588">
        <w:t xml:space="preserve">give a response that was coded as having a mixed positive and negative sentiment, </w:t>
      </w:r>
      <w:r w:rsidR="001051E1">
        <w:t xml:space="preserve">compared to </w:t>
      </w:r>
      <w:r w:rsidR="00967588">
        <w:t>a response that was coded as positive.</w:t>
      </w:r>
      <w:r w:rsidR="0025060C">
        <w:t xml:space="preserve"> </w:t>
      </w:r>
      <w:r w:rsidR="005B6F5E">
        <w:t xml:space="preserve">An additional visit in the full model </w:t>
      </w:r>
      <w:r w:rsidR="00A36CDB">
        <w:t>was</w:t>
      </w:r>
      <w:r w:rsidR="005B6F5E">
        <w:t xml:space="preserve"> associated with a 0.93 factor reduction in risk of giving a negative response relative to a positive response, and a 0.83 factor reduction in the risk of giving a response about not receiving visitation.</w:t>
      </w:r>
    </w:p>
    <w:p w14:paraId="7D13DBA4" w14:textId="5AED821A" w:rsidR="00D76485" w:rsidRDefault="00D76485" w:rsidP="00D76485">
      <w:pPr>
        <w:keepNext/>
        <w:widowControl w:val="0"/>
        <w:autoSpaceDE w:val="0"/>
        <w:autoSpaceDN w:val="0"/>
        <w:adjustRightInd w:val="0"/>
        <w:ind w:firstLine="720"/>
        <w:rPr>
          <w:rFonts w:eastAsia="SimSun" w:cs="Times New Roman"/>
          <w:kern w:val="24"/>
          <w:szCs w:val="24"/>
          <w:lang w:eastAsia="ja-JP"/>
        </w:rPr>
      </w:pPr>
      <w:r w:rsidRPr="009974E0">
        <w:rPr>
          <w:rFonts w:eastAsia="Times New Roman" w:cs="Times New Roman"/>
        </w:rPr>
        <w:t xml:space="preserve">Table </w:t>
      </w:r>
      <w:r w:rsidR="00303F56">
        <w:rPr>
          <w:rFonts w:eastAsia="Times New Roman" w:cs="Times New Roman"/>
        </w:rPr>
        <w:t>8</w:t>
      </w:r>
      <w:r>
        <w:rPr>
          <w:rFonts w:eastAsia="Times New Roman" w:cs="Times New Roman"/>
        </w:rPr>
        <w:t xml:space="preserve"> shows the exponentiated logistic coefficients of a full model predicating a preference against visitation. </w:t>
      </w:r>
      <w:r w:rsidRPr="0005679B">
        <w:rPr>
          <w:rFonts w:eastAsia="SimSun" w:cs="Times New Roman"/>
          <w:kern w:val="24"/>
          <w:szCs w:val="24"/>
          <w:lang w:eastAsia="ja-JP"/>
        </w:rPr>
        <w:t xml:space="preserve">Of the four predictors, the number of recent visits </w:t>
      </w:r>
      <w:r w:rsidR="00B76C26">
        <w:rPr>
          <w:rFonts w:eastAsia="SimSun" w:cs="Times New Roman"/>
          <w:kern w:val="24"/>
          <w:szCs w:val="24"/>
          <w:lang w:eastAsia="ja-JP"/>
        </w:rPr>
        <w:t>was</w:t>
      </w:r>
      <w:r w:rsidRPr="0005679B">
        <w:rPr>
          <w:rFonts w:eastAsia="SimSun" w:cs="Times New Roman"/>
          <w:kern w:val="24"/>
          <w:szCs w:val="24"/>
          <w:lang w:eastAsia="ja-JP"/>
        </w:rPr>
        <w:t xml:space="preserve"> the only measure statistically significantly associated with the preference for not being visited. Each additional visit received </w:t>
      </w:r>
      <w:r w:rsidR="00B76C26">
        <w:rPr>
          <w:rFonts w:eastAsia="SimSun" w:cs="Times New Roman"/>
          <w:kern w:val="24"/>
          <w:szCs w:val="24"/>
          <w:lang w:eastAsia="ja-JP"/>
        </w:rPr>
        <w:t>was</w:t>
      </w:r>
      <w:r w:rsidRPr="0005679B">
        <w:rPr>
          <w:rFonts w:eastAsia="SimSun" w:cs="Times New Roman"/>
          <w:kern w:val="24"/>
          <w:szCs w:val="24"/>
          <w:lang w:eastAsia="ja-JP"/>
        </w:rPr>
        <w:t xml:space="preserve"> associate with a 16% reduction in the odds of not wanting to be visited, when</w:t>
      </w:r>
      <w:r>
        <w:rPr>
          <w:rFonts w:eastAsia="SimSun" w:cs="Times New Roman"/>
          <w:kern w:val="24"/>
          <w:szCs w:val="24"/>
          <w:lang w:eastAsia="ja-JP"/>
        </w:rPr>
        <w:t xml:space="preserve"> h</w:t>
      </w:r>
      <w:r w:rsidRPr="0005679B">
        <w:rPr>
          <w:rFonts w:eastAsia="SimSun" w:cs="Times New Roman"/>
          <w:kern w:val="24"/>
          <w:szCs w:val="24"/>
          <w:lang w:eastAsia="ja-JP"/>
        </w:rPr>
        <w:t>olding all other covariates constant.</w:t>
      </w:r>
    </w:p>
    <w:p w14:paraId="58F7B910" w14:textId="69387678" w:rsidR="00D76485" w:rsidRDefault="00056045" w:rsidP="00056045">
      <w:pPr>
        <w:ind w:firstLine="720"/>
        <w:rPr>
          <w:rFonts w:cs="Times New Roman"/>
        </w:rPr>
      </w:pPr>
      <w:r>
        <w:rPr>
          <w:rFonts w:cs="Times New Roman"/>
        </w:rPr>
        <w:t>Results suggest</w:t>
      </w:r>
      <w:r w:rsidR="00B76C26">
        <w:rPr>
          <w:rFonts w:cs="Times New Roman"/>
        </w:rPr>
        <w:t>ing</w:t>
      </w:r>
      <w:r>
        <w:rPr>
          <w:rFonts w:cs="Times New Roman"/>
        </w:rPr>
        <w:t xml:space="preserve"> </w:t>
      </w:r>
      <w:r w:rsidR="00D76485">
        <w:rPr>
          <w:rFonts w:cs="Times New Roman"/>
        </w:rPr>
        <w:t xml:space="preserve">visitation </w:t>
      </w:r>
      <w:r w:rsidR="00B76C26">
        <w:rPr>
          <w:rFonts w:cs="Times New Roman"/>
        </w:rPr>
        <w:t>was</w:t>
      </w:r>
      <w:r w:rsidR="00D76485">
        <w:rPr>
          <w:rFonts w:cs="Times New Roman"/>
        </w:rPr>
        <w:t xml:space="preserve"> sometimes seen as negative </w:t>
      </w:r>
      <w:r>
        <w:rPr>
          <w:rFonts w:cs="Times New Roman"/>
        </w:rPr>
        <w:t xml:space="preserve">or </w:t>
      </w:r>
      <w:r w:rsidR="00B76C26">
        <w:rPr>
          <w:rFonts w:cs="Times New Roman"/>
        </w:rPr>
        <w:t>with mixed feelings</w:t>
      </w:r>
      <w:r w:rsidR="00D76485">
        <w:rPr>
          <w:rFonts w:cs="Times New Roman"/>
        </w:rPr>
        <w:t xml:space="preserve"> </w:t>
      </w:r>
      <w:r w:rsidR="00B76C26">
        <w:rPr>
          <w:rFonts w:cs="Times New Roman"/>
        </w:rPr>
        <w:t>was</w:t>
      </w:r>
      <w:r w:rsidR="00D76485">
        <w:rPr>
          <w:rFonts w:cs="Times New Roman"/>
        </w:rPr>
        <w:t xml:space="preserve"> shown both in individual </w:t>
      </w:r>
      <w:r w:rsidR="00B76C26">
        <w:rPr>
          <w:rFonts w:cs="Times New Roman"/>
        </w:rPr>
        <w:t>narratives</w:t>
      </w:r>
      <w:r w:rsidR="00D76485">
        <w:rPr>
          <w:rFonts w:cs="Times New Roman"/>
        </w:rPr>
        <w:t xml:space="preserve"> and </w:t>
      </w:r>
      <w:r w:rsidR="00B76C26">
        <w:rPr>
          <w:rFonts w:cs="Times New Roman"/>
        </w:rPr>
        <w:t xml:space="preserve">coded </w:t>
      </w:r>
      <w:r w:rsidR="00D76485">
        <w:rPr>
          <w:rFonts w:cs="Times New Roman"/>
        </w:rPr>
        <w:t>sentiment</w:t>
      </w:r>
      <w:r w:rsidR="00B76C26">
        <w:rPr>
          <w:rFonts w:cs="Times New Roman"/>
        </w:rPr>
        <w:t>s</w:t>
      </w:r>
      <w:r w:rsidR="00D76485">
        <w:rPr>
          <w:rFonts w:cs="Times New Roman"/>
        </w:rPr>
        <w:t xml:space="preserve">. </w:t>
      </w:r>
      <w:r>
        <w:rPr>
          <w:rFonts w:cs="Times New Roman"/>
        </w:rPr>
        <w:t>Sampled women</w:t>
      </w:r>
      <w:r w:rsidR="00D76485">
        <w:rPr>
          <w:rFonts w:cs="Times New Roman"/>
        </w:rPr>
        <w:t xml:space="preserve"> gave wide</w:t>
      </w:r>
      <w:r>
        <w:rPr>
          <w:rFonts w:cs="Times New Roman"/>
        </w:rPr>
        <w:t>-</w:t>
      </w:r>
      <w:r w:rsidR="00D76485">
        <w:rPr>
          <w:rFonts w:cs="Times New Roman"/>
        </w:rPr>
        <w:t>ranging descriptions of their feeling</w:t>
      </w:r>
      <w:r>
        <w:rPr>
          <w:rFonts w:cs="Times New Roman"/>
        </w:rPr>
        <w:t>s</w:t>
      </w:r>
      <w:r w:rsidR="00D76485">
        <w:rPr>
          <w:rFonts w:cs="Times New Roman"/>
        </w:rPr>
        <w:t xml:space="preserve"> about being visited in prison. Some valued it above all else, and others found it profoundly uncomfortable for themselves and for their visitors. </w:t>
      </w:r>
      <w:r>
        <w:rPr>
          <w:rFonts w:cs="Times New Roman"/>
        </w:rPr>
        <w:t>Approximately one-</w:t>
      </w:r>
      <w:r w:rsidR="00D76485">
        <w:rPr>
          <w:rFonts w:cs="Times New Roman"/>
        </w:rPr>
        <w:t>third of respondents gave a positive overall answer about being visited</w:t>
      </w:r>
      <w:r>
        <w:rPr>
          <w:rFonts w:cs="Times New Roman"/>
        </w:rPr>
        <w:t>, while</w:t>
      </w:r>
      <w:r w:rsidR="00D76485">
        <w:rPr>
          <w:rFonts w:cs="Times New Roman"/>
        </w:rPr>
        <w:t xml:space="preserve"> approximately 50 percent gave a mixed or negative response. </w:t>
      </w:r>
    </w:p>
    <w:p w14:paraId="408624F1" w14:textId="77777777" w:rsidR="00B76C26" w:rsidRDefault="00D76485" w:rsidP="00D76485">
      <w:pPr>
        <w:ind w:firstLine="720"/>
        <w:rPr>
          <w:rFonts w:cs="Times New Roman"/>
        </w:rPr>
      </w:pPr>
      <w:r>
        <w:rPr>
          <w:rFonts w:cs="Times New Roman"/>
        </w:rPr>
        <w:t>The second research question focused on structural factors</w:t>
      </w:r>
      <w:r w:rsidR="00B76C26">
        <w:rPr>
          <w:rFonts w:cs="Times New Roman"/>
        </w:rPr>
        <w:t>,</w:t>
      </w:r>
      <w:r>
        <w:rPr>
          <w:rFonts w:cs="Times New Roman"/>
        </w:rPr>
        <w:t xml:space="preserve"> such as the distance needed to travel or the difficulty faced by visitors</w:t>
      </w:r>
      <w:r w:rsidR="00B76C26">
        <w:rPr>
          <w:rFonts w:cs="Times New Roman"/>
        </w:rPr>
        <w:t>, and our results</w:t>
      </w:r>
      <w:r>
        <w:rPr>
          <w:rFonts w:cs="Times New Roman"/>
        </w:rPr>
        <w:t xml:space="preserve"> lend support to a deprivation explanation of visitation sentiment. </w:t>
      </w:r>
      <w:r w:rsidR="00B76C26">
        <w:rPr>
          <w:rFonts w:cs="Times New Roman"/>
        </w:rPr>
        <w:t>P</w:t>
      </w:r>
      <w:r>
        <w:rPr>
          <w:rFonts w:cs="Times New Roman"/>
        </w:rPr>
        <w:t>erception</w:t>
      </w:r>
      <w:r w:rsidR="00B76C26">
        <w:rPr>
          <w:rFonts w:cs="Times New Roman"/>
        </w:rPr>
        <w:t>s</w:t>
      </w:r>
      <w:r>
        <w:rPr>
          <w:rFonts w:cs="Times New Roman"/>
        </w:rPr>
        <w:t xml:space="preserve"> of a </w:t>
      </w:r>
      <w:r w:rsidR="00B76C26">
        <w:rPr>
          <w:rFonts w:cs="Times New Roman"/>
        </w:rPr>
        <w:t xml:space="preserve">prison visits as </w:t>
      </w:r>
      <w:r>
        <w:rPr>
          <w:rFonts w:cs="Times New Roman"/>
        </w:rPr>
        <w:t>difficult experience</w:t>
      </w:r>
      <w:r w:rsidR="00B76C26">
        <w:rPr>
          <w:rFonts w:cs="Times New Roman"/>
        </w:rPr>
        <w:t>s</w:t>
      </w:r>
      <w:r>
        <w:rPr>
          <w:rFonts w:cs="Times New Roman"/>
        </w:rPr>
        <w:t xml:space="preserve"> for the visitor w</w:t>
      </w:r>
      <w:r w:rsidR="00B76C26">
        <w:rPr>
          <w:rFonts w:cs="Times New Roman"/>
        </w:rPr>
        <w:t>ere</w:t>
      </w:r>
      <w:r>
        <w:rPr>
          <w:rFonts w:cs="Times New Roman"/>
        </w:rPr>
        <w:t xml:space="preserve"> associated with an elevated chance </w:t>
      </w:r>
      <w:r w:rsidR="00B76C26">
        <w:rPr>
          <w:rFonts w:cs="Times New Roman"/>
        </w:rPr>
        <w:t xml:space="preserve">that respondents thought of visits negatively or with mixed emotions. </w:t>
      </w:r>
    </w:p>
    <w:p w14:paraId="657DCA65" w14:textId="64A5123C" w:rsidR="000A0F0F" w:rsidRDefault="00D76485" w:rsidP="00C130F0">
      <w:pPr>
        <w:ind w:firstLine="720"/>
        <w:rPr>
          <w:rFonts w:cs="Times New Roman"/>
        </w:rPr>
      </w:pPr>
      <w:r>
        <w:rPr>
          <w:rFonts w:cs="Times New Roman"/>
        </w:rPr>
        <w:t>The final research question is focused on how social support impacts the experience of visitation. Here, social support from inside the prison in the form of pseudo</w:t>
      </w:r>
      <w:r w:rsidR="00B76C26">
        <w:rPr>
          <w:rFonts w:cs="Times New Roman"/>
        </w:rPr>
        <w:t>-</w:t>
      </w:r>
      <w:r>
        <w:rPr>
          <w:rFonts w:cs="Times New Roman"/>
        </w:rPr>
        <w:t>famil</w:t>
      </w:r>
      <w:r w:rsidR="00B76C26">
        <w:rPr>
          <w:rFonts w:cs="Times New Roman"/>
        </w:rPr>
        <w:t>y membership</w:t>
      </w:r>
      <w:r>
        <w:rPr>
          <w:rFonts w:cs="Times New Roman"/>
        </w:rPr>
        <w:t xml:space="preserve"> showed a </w:t>
      </w:r>
      <w:r w:rsidR="00B76C26">
        <w:rPr>
          <w:rFonts w:cs="Times New Roman"/>
        </w:rPr>
        <w:t>positive association</w:t>
      </w:r>
      <w:r>
        <w:rPr>
          <w:rFonts w:cs="Times New Roman"/>
        </w:rPr>
        <w:t xml:space="preserve"> in the bivariate analysis</w:t>
      </w:r>
      <w:r w:rsidR="00B76C26">
        <w:rPr>
          <w:rFonts w:cs="Times New Roman"/>
        </w:rPr>
        <w:t xml:space="preserve"> </w:t>
      </w:r>
      <w:r>
        <w:rPr>
          <w:rFonts w:cs="Times New Roman"/>
        </w:rPr>
        <w:t>but was attenuated in the full model</w:t>
      </w:r>
      <w:r w:rsidR="00B76C26">
        <w:rPr>
          <w:rFonts w:cs="Times New Roman"/>
        </w:rPr>
        <w:t xml:space="preserve"> </w:t>
      </w:r>
      <w:r w:rsidR="00B76C26" w:rsidRPr="00D55967">
        <w:rPr>
          <w:rFonts w:cs="Times New Roman"/>
        </w:rPr>
        <w:t xml:space="preserve">(Table </w:t>
      </w:r>
      <w:r w:rsidR="00303F56">
        <w:rPr>
          <w:rFonts w:cs="Times New Roman"/>
        </w:rPr>
        <w:t>7</w:t>
      </w:r>
      <w:r w:rsidR="00B76C26" w:rsidRPr="00D55967">
        <w:rPr>
          <w:rFonts w:cs="Times New Roman"/>
        </w:rPr>
        <w:t>)</w:t>
      </w:r>
      <w:r w:rsidRPr="00D55967">
        <w:rPr>
          <w:rFonts w:cs="Times New Roman"/>
        </w:rPr>
        <w:t>.</w:t>
      </w:r>
      <w:r>
        <w:rPr>
          <w:rFonts w:cs="Times New Roman"/>
        </w:rPr>
        <w:t xml:space="preserve"> Evidence of continued support from outside the prison – measured in cou</w:t>
      </w:r>
      <w:r w:rsidR="00B76C26">
        <w:rPr>
          <w:rFonts w:cs="Times New Roman"/>
        </w:rPr>
        <w:t>n</w:t>
      </w:r>
      <w:r>
        <w:rPr>
          <w:rFonts w:cs="Times New Roman"/>
        </w:rPr>
        <w:t>ts of recent visitation – remained significant in the full mode</w:t>
      </w:r>
      <w:r w:rsidR="00B76C26">
        <w:rPr>
          <w:rFonts w:cs="Times New Roman"/>
        </w:rPr>
        <w:t>l</w:t>
      </w:r>
      <w:r>
        <w:rPr>
          <w:rFonts w:cs="Times New Roman"/>
        </w:rPr>
        <w:t xml:space="preserve">, with recent visits reducing the likelihood of having an overall negative sentiment about visitation. Through a stigma lens, the receipt of social support from visitors may improve the </w:t>
      </w:r>
      <w:r w:rsidRPr="00B450AA">
        <w:rPr>
          <w:rFonts w:cs="Times New Roman"/>
          <w:i/>
          <w:iCs/>
        </w:rPr>
        <w:t>identity</w:t>
      </w:r>
      <w:r>
        <w:rPr>
          <w:rFonts w:cs="Times New Roman"/>
        </w:rPr>
        <w:t xml:space="preserve"> of the woman in prison, but the qualitative examples of mixed and negative sentiments make it clear that being seen in prison </w:t>
      </w:r>
      <w:r w:rsidR="00B76C26">
        <w:rPr>
          <w:rFonts w:cs="Times New Roman"/>
        </w:rPr>
        <w:t xml:space="preserve">can be a </w:t>
      </w:r>
      <w:r>
        <w:rPr>
          <w:rFonts w:cs="Times New Roman"/>
        </w:rPr>
        <w:t>difficult and uncomfortable experience.</w:t>
      </w:r>
    </w:p>
    <w:p w14:paraId="7AAB14C1" w14:textId="104820F5" w:rsidR="005E70FF" w:rsidRDefault="005E70FF" w:rsidP="00C130F0">
      <w:pPr>
        <w:ind w:firstLine="720"/>
        <w:rPr>
          <w:rFonts w:cs="Times New Roman"/>
        </w:rPr>
      </w:pPr>
    </w:p>
    <w:p w14:paraId="3A251FC3" w14:textId="3D403DA1" w:rsidR="005E70FF" w:rsidRDefault="005E70FF" w:rsidP="00C130F0">
      <w:pPr>
        <w:ind w:firstLine="720"/>
        <w:rPr>
          <w:rFonts w:cs="Times New Roman"/>
        </w:rPr>
      </w:pPr>
    </w:p>
    <w:p w14:paraId="64890F65" w14:textId="79208196" w:rsidR="005E70FF" w:rsidRDefault="005E70FF" w:rsidP="00C130F0">
      <w:pPr>
        <w:ind w:firstLine="720"/>
        <w:rPr>
          <w:rFonts w:cs="Times New Roman"/>
        </w:rPr>
      </w:pPr>
    </w:p>
    <w:p w14:paraId="6F1846E8" w14:textId="11653662" w:rsidR="005E70FF" w:rsidRDefault="005E70FF" w:rsidP="00C130F0">
      <w:pPr>
        <w:ind w:firstLine="720"/>
        <w:rPr>
          <w:rFonts w:cs="Times New Roman"/>
        </w:rPr>
      </w:pPr>
    </w:p>
    <w:p w14:paraId="72E40A11" w14:textId="31631E6B" w:rsidR="005E70FF" w:rsidRDefault="005E70FF" w:rsidP="00C130F0">
      <w:pPr>
        <w:ind w:firstLine="720"/>
        <w:rPr>
          <w:rFonts w:cs="Times New Roman"/>
        </w:rPr>
      </w:pPr>
    </w:p>
    <w:p w14:paraId="4292CC9B" w14:textId="14C03911" w:rsidR="005E70FF" w:rsidRDefault="005E70FF" w:rsidP="00C130F0">
      <w:pPr>
        <w:ind w:firstLine="720"/>
        <w:rPr>
          <w:rFonts w:cs="Times New Roman"/>
        </w:rPr>
      </w:pPr>
    </w:p>
    <w:p w14:paraId="2D5A0417" w14:textId="715BA1B2" w:rsidR="005E70FF" w:rsidRDefault="005E70FF" w:rsidP="00C130F0">
      <w:pPr>
        <w:ind w:firstLine="720"/>
        <w:rPr>
          <w:rFonts w:cs="Times New Roman"/>
        </w:rPr>
      </w:pPr>
    </w:p>
    <w:p w14:paraId="63572478" w14:textId="211F04B5" w:rsidR="005E70FF" w:rsidRDefault="005E70FF" w:rsidP="00C130F0">
      <w:pPr>
        <w:ind w:firstLine="720"/>
        <w:rPr>
          <w:rFonts w:cs="Times New Roman"/>
        </w:rPr>
      </w:pPr>
    </w:p>
    <w:p w14:paraId="3E0469EC" w14:textId="4A60583A" w:rsidR="005E70FF" w:rsidRDefault="005E70FF" w:rsidP="00C130F0">
      <w:pPr>
        <w:ind w:firstLine="720"/>
        <w:rPr>
          <w:rFonts w:cs="Times New Roman"/>
        </w:rPr>
      </w:pPr>
    </w:p>
    <w:p w14:paraId="6D258C93" w14:textId="548EC5A2" w:rsidR="005E70FF" w:rsidRDefault="005E70FF" w:rsidP="00C130F0">
      <w:pPr>
        <w:ind w:firstLine="720"/>
        <w:rPr>
          <w:rFonts w:cs="Times New Roman"/>
        </w:rPr>
      </w:pPr>
    </w:p>
    <w:p w14:paraId="0440B6CA" w14:textId="77777777" w:rsidR="005E70FF" w:rsidRDefault="005E70FF" w:rsidP="00C130F0">
      <w:pPr>
        <w:ind w:firstLine="720"/>
        <w:rPr>
          <w:rFonts w:cs="Times New Roman"/>
        </w:rPr>
      </w:pPr>
    </w:p>
    <w:p w14:paraId="5C09C90F" w14:textId="1EB8D7CE" w:rsidR="00056045" w:rsidRPr="009974E0" w:rsidRDefault="00056045" w:rsidP="00056045">
      <w:pPr>
        <w:widowControl w:val="0"/>
        <w:autoSpaceDE w:val="0"/>
        <w:autoSpaceDN w:val="0"/>
        <w:adjustRightInd w:val="0"/>
        <w:spacing w:line="240" w:lineRule="auto"/>
        <w:rPr>
          <w:rFonts w:eastAsia="Times New Roman" w:cs="Times New Roman"/>
          <w:b/>
          <w:bCs/>
          <w:szCs w:val="24"/>
        </w:rPr>
      </w:pPr>
      <w:r w:rsidRPr="009974E0">
        <w:rPr>
          <w:rFonts w:eastAsia="Times New Roman" w:cs="Times New Roman"/>
          <w:b/>
          <w:bCs/>
          <w:szCs w:val="24"/>
        </w:rPr>
        <w:t xml:space="preserve">Table </w:t>
      </w:r>
      <w:r w:rsidR="00303F56">
        <w:rPr>
          <w:rFonts w:eastAsia="Times New Roman" w:cs="Times New Roman"/>
          <w:b/>
          <w:bCs/>
          <w:szCs w:val="24"/>
        </w:rPr>
        <w:t>6</w:t>
      </w:r>
      <w:r w:rsidR="00D55967">
        <w:rPr>
          <w:rFonts w:eastAsia="Times New Roman" w:cs="Times New Roman"/>
          <w:b/>
          <w:bCs/>
          <w:szCs w:val="24"/>
        </w:rPr>
        <w:t>.</w:t>
      </w:r>
      <w:r w:rsidRPr="009974E0">
        <w:rPr>
          <w:rFonts w:eastAsia="Times New Roman" w:cs="Times New Roman"/>
          <w:b/>
          <w:bCs/>
          <w:szCs w:val="24"/>
        </w:rPr>
        <w:t xml:space="preserve"> Descriptive Statistics </w:t>
      </w:r>
      <w:r>
        <w:rPr>
          <w:rFonts w:eastAsia="Times New Roman" w:cs="Times New Roman"/>
          <w:b/>
          <w:bCs/>
          <w:szCs w:val="24"/>
        </w:rPr>
        <w:t xml:space="preserve">for Visitation Analyses </w:t>
      </w:r>
      <w:r w:rsidRPr="009974E0">
        <w:rPr>
          <w:rFonts w:eastAsia="Times New Roman" w:cs="Times New Roman"/>
          <w:b/>
          <w:bCs/>
          <w:szCs w:val="24"/>
        </w:rPr>
        <w:t>(N=222)</w:t>
      </w:r>
    </w:p>
    <w:tbl>
      <w:tblPr>
        <w:tblW w:w="0" w:type="auto"/>
        <w:tblLayout w:type="fixed"/>
        <w:tblLook w:val="0000" w:firstRow="0" w:lastRow="0" w:firstColumn="0" w:lastColumn="0" w:noHBand="0" w:noVBand="0"/>
      </w:tblPr>
      <w:tblGrid>
        <w:gridCol w:w="3780"/>
        <w:gridCol w:w="1170"/>
        <w:gridCol w:w="1350"/>
        <w:gridCol w:w="990"/>
        <w:gridCol w:w="1260"/>
      </w:tblGrid>
      <w:tr w:rsidR="00056045" w:rsidRPr="000E00C1" w14:paraId="746A1738" w14:textId="77777777" w:rsidTr="00836ADF">
        <w:tc>
          <w:tcPr>
            <w:tcW w:w="3780" w:type="dxa"/>
            <w:tcBorders>
              <w:top w:val="single" w:sz="4" w:space="0" w:color="auto"/>
              <w:left w:val="nil"/>
              <w:bottom w:val="single" w:sz="12" w:space="0" w:color="auto"/>
              <w:right w:val="nil"/>
            </w:tcBorders>
          </w:tcPr>
          <w:p w14:paraId="7E732687"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Variable</w:t>
            </w:r>
          </w:p>
        </w:tc>
        <w:tc>
          <w:tcPr>
            <w:tcW w:w="1170" w:type="dxa"/>
            <w:tcBorders>
              <w:top w:val="single" w:sz="4" w:space="0" w:color="auto"/>
              <w:left w:val="nil"/>
              <w:bottom w:val="single" w:sz="12" w:space="0" w:color="auto"/>
              <w:right w:val="nil"/>
            </w:tcBorders>
          </w:tcPr>
          <w:p w14:paraId="229A0055" w14:textId="77777777" w:rsidR="00056045" w:rsidRPr="009974E0" w:rsidRDefault="00056045" w:rsidP="00836ADF">
            <w:pPr>
              <w:widowControl w:val="0"/>
              <w:tabs>
                <w:tab w:val="left" w:pos="324"/>
              </w:tabs>
              <w:autoSpaceDE w:val="0"/>
              <w:autoSpaceDN w:val="0"/>
              <w:adjustRightInd w:val="0"/>
              <w:spacing w:line="240" w:lineRule="auto"/>
              <w:ind w:left="-193" w:right="68" w:firstLine="13"/>
              <w:jc w:val="right"/>
              <w:rPr>
                <w:rFonts w:eastAsia="Times New Roman" w:cs="Times New Roman"/>
                <w:sz w:val="20"/>
                <w:szCs w:val="18"/>
              </w:rPr>
            </w:pPr>
            <w:r w:rsidRPr="009974E0">
              <w:rPr>
                <w:rFonts w:eastAsia="Times New Roman" w:cs="Times New Roman"/>
                <w:sz w:val="20"/>
                <w:szCs w:val="18"/>
              </w:rPr>
              <w:t xml:space="preserve"> Mean (n)</w:t>
            </w:r>
          </w:p>
        </w:tc>
        <w:tc>
          <w:tcPr>
            <w:tcW w:w="1350" w:type="dxa"/>
            <w:tcBorders>
              <w:top w:val="single" w:sz="4" w:space="0" w:color="auto"/>
              <w:left w:val="nil"/>
              <w:bottom w:val="single" w:sz="12" w:space="0" w:color="auto"/>
              <w:right w:val="nil"/>
            </w:tcBorders>
          </w:tcPr>
          <w:p w14:paraId="090B76F4"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 xml:space="preserve"> SD (%)</w:t>
            </w:r>
          </w:p>
        </w:tc>
        <w:tc>
          <w:tcPr>
            <w:tcW w:w="990" w:type="dxa"/>
            <w:tcBorders>
              <w:top w:val="single" w:sz="4" w:space="0" w:color="auto"/>
              <w:left w:val="nil"/>
              <w:bottom w:val="single" w:sz="12" w:space="0" w:color="auto"/>
              <w:right w:val="nil"/>
            </w:tcBorders>
          </w:tcPr>
          <w:p w14:paraId="17DF195A"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 xml:space="preserve"> Min</w:t>
            </w:r>
          </w:p>
        </w:tc>
        <w:tc>
          <w:tcPr>
            <w:tcW w:w="1260" w:type="dxa"/>
            <w:tcBorders>
              <w:top w:val="single" w:sz="4" w:space="0" w:color="auto"/>
              <w:left w:val="nil"/>
              <w:bottom w:val="single" w:sz="12" w:space="0" w:color="auto"/>
              <w:right w:val="nil"/>
            </w:tcBorders>
          </w:tcPr>
          <w:p w14:paraId="64DC59B3"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 xml:space="preserve"> Max</w:t>
            </w:r>
          </w:p>
        </w:tc>
      </w:tr>
      <w:tr w:rsidR="00056045" w:rsidRPr="000E00C1" w14:paraId="754F2E18" w14:textId="77777777" w:rsidTr="00836ADF">
        <w:tc>
          <w:tcPr>
            <w:tcW w:w="3780" w:type="dxa"/>
            <w:tcBorders>
              <w:top w:val="single" w:sz="12" w:space="0" w:color="auto"/>
              <w:left w:val="nil"/>
              <w:bottom w:val="nil"/>
              <w:right w:val="nil"/>
            </w:tcBorders>
          </w:tcPr>
          <w:p w14:paraId="2509AE77"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Overall tone on visitation</w:t>
            </w:r>
          </w:p>
        </w:tc>
        <w:tc>
          <w:tcPr>
            <w:tcW w:w="1170" w:type="dxa"/>
            <w:tcBorders>
              <w:top w:val="single" w:sz="12" w:space="0" w:color="auto"/>
              <w:left w:val="nil"/>
              <w:bottom w:val="nil"/>
              <w:right w:val="nil"/>
            </w:tcBorders>
          </w:tcPr>
          <w:p w14:paraId="7F76CD17" w14:textId="77777777" w:rsidR="00056045" w:rsidRPr="009974E0" w:rsidRDefault="00056045" w:rsidP="00836ADF">
            <w:pPr>
              <w:widowControl w:val="0"/>
              <w:tabs>
                <w:tab w:val="decimal" w:pos="324"/>
                <w:tab w:val="left" w:pos="372"/>
              </w:tabs>
              <w:autoSpaceDE w:val="0"/>
              <w:autoSpaceDN w:val="0"/>
              <w:adjustRightInd w:val="0"/>
              <w:spacing w:line="240" w:lineRule="auto"/>
              <w:jc w:val="right"/>
              <w:rPr>
                <w:rFonts w:eastAsia="Times New Roman" w:cs="Times New Roman"/>
                <w:sz w:val="20"/>
                <w:szCs w:val="18"/>
              </w:rPr>
            </w:pPr>
          </w:p>
        </w:tc>
        <w:tc>
          <w:tcPr>
            <w:tcW w:w="1350" w:type="dxa"/>
            <w:tcBorders>
              <w:top w:val="single" w:sz="12" w:space="0" w:color="auto"/>
              <w:left w:val="nil"/>
              <w:bottom w:val="nil"/>
              <w:right w:val="nil"/>
            </w:tcBorders>
          </w:tcPr>
          <w:p w14:paraId="0BA6DE99"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c>
          <w:tcPr>
            <w:tcW w:w="990" w:type="dxa"/>
            <w:tcBorders>
              <w:top w:val="single" w:sz="12" w:space="0" w:color="auto"/>
              <w:left w:val="nil"/>
              <w:bottom w:val="nil"/>
              <w:right w:val="nil"/>
            </w:tcBorders>
          </w:tcPr>
          <w:p w14:paraId="1BB65526"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single" w:sz="12" w:space="0" w:color="auto"/>
              <w:left w:val="nil"/>
              <w:bottom w:val="nil"/>
              <w:right w:val="nil"/>
            </w:tcBorders>
          </w:tcPr>
          <w:p w14:paraId="3CED43C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145E2F0E" w14:textId="77777777" w:rsidTr="00836ADF">
        <w:tc>
          <w:tcPr>
            <w:tcW w:w="3780" w:type="dxa"/>
            <w:tcBorders>
              <w:top w:val="nil"/>
              <w:left w:val="nil"/>
              <w:right w:val="nil"/>
            </w:tcBorders>
          </w:tcPr>
          <w:p w14:paraId="79A83D03"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Positive tone (reference)</w:t>
            </w:r>
          </w:p>
        </w:tc>
        <w:tc>
          <w:tcPr>
            <w:tcW w:w="1170" w:type="dxa"/>
            <w:tcBorders>
              <w:top w:val="nil"/>
              <w:left w:val="nil"/>
              <w:right w:val="nil"/>
            </w:tcBorders>
          </w:tcPr>
          <w:p w14:paraId="4639845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83</w:t>
            </w:r>
          </w:p>
        </w:tc>
        <w:tc>
          <w:tcPr>
            <w:tcW w:w="1350" w:type="dxa"/>
            <w:tcBorders>
              <w:top w:val="nil"/>
              <w:left w:val="nil"/>
              <w:right w:val="nil"/>
            </w:tcBorders>
          </w:tcPr>
          <w:p w14:paraId="2795E46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37.39%</w:t>
            </w:r>
          </w:p>
        </w:tc>
        <w:tc>
          <w:tcPr>
            <w:tcW w:w="990" w:type="dxa"/>
            <w:tcBorders>
              <w:top w:val="nil"/>
              <w:left w:val="nil"/>
              <w:right w:val="nil"/>
            </w:tcBorders>
          </w:tcPr>
          <w:p w14:paraId="3C67259F"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right w:val="nil"/>
            </w:tcBorders>
          </w:tcPr>
          <w:p w14:paraId="5C1B0A12"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6D6CC196" w14:textId="77777777" w:rsidTr="00836ADF">
        <w:tc>
          <w:tcPr>
            <w:tcW w:w="3780" w:type="dxa"/>
            <w:tcBorders>
              <w:top w:val="nil"/>
              <w:left w:val="nil"/>
              <w:right w:val="nil"/>
            </w:tcBorders>
          </w:tcPr>
          <w:p w14:paraId="7C3FEFBE"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Mixed tone</w:t>
            </w:r>
          </w:p>
        </w:tc>
        <w:tc>
          <w:tcPr>
            <w:tcW w:w="1170" w:type="dxa"/>
            <w:tcBorders>
              <w:top w:val="nil"/>
              <w:left w:val="nil"/>
              <w:right w:val="nil"/>
            </w:tcBorders>
          </w:tcPr>
          <w:p w14:paraId="3BDD4D0D"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71</w:t>
            </w:r>
          </w:p>
        </w:tc>
        <w:tc>
          <w:tcPr>
            <w:tcW w:w="1350" w:type="dxa"/>
            <w:tcBorders>
              <w:top w:val="nil"/>
              <w:left w:val="nil"/>
              <w:right w:val="nil"/>
            </w:tcBorders>
          </w:tcPr>
          <w:p w14:paraId="33E1BD78"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32.98%</w:t>
            </w:r>
          </w:p>
        </w:tc>
        <w:tc>
          <w:tcPr>
            <w:tcW w:w="990" w:type="dxa"/>
            <w:tcBorders>
              <w:top w:val="nil"/>
              <w:left w:val="nil"/>
              <w:right w:val="nil"/>
            </w:tcBorders>
          </w:tcPr>
          <w:p w14:paraId="762E84F3"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right w:val="nil"/>
            </w:tcBorders>
          </w:tcPr>
          <w:p w14:paraId="71AF4EBE"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280A4E3C" w14:textId="77777777" w:rsidTr="00836ADF">
        <w:tc>
          <w:tcPr>
            <w:tcW w:w="3780" w:type="dxa"/>
            <w:tcBorders>
              <w:top w:val="nil"/>
              <w:left w:val="nil"/>
              <w:right w:val="nil"/>
            </w:tcBorders>
          </w:tcPr>
          <w:p w14:paraId="004B8D5C"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Negative tone</w:t>
            </w:r>
          </w:p>
        </w:tc>
        <w:tc>
          <w:tcPr>
            <w:tcW w:w="1170" w:type="dxa"/>
            <w:tcBorders>
              <w:top w:val="nil"/>
              <w:left w:val="nil"/>
              <w:right w:val="nil"/>
            </w:tcBorders>
          </w:tcPr>
          <w:p w14:paraId="6D7AAB4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41</w:t>
            </w:r>
          </w:p>
        </w:tc>
        <w:tc>
          <w:tcPr>
            <w:tcW w:w="1350" w:type="dxa"/>
            <w:tcBorders>
              <w:top w:val="nil"/>
              <w:left w:val="nil"/>
              <w:right w:val="nil"/>
            </w:tcBorders>
          </w:tcPr>
          <w:p w14:paraId="1608DC98"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18.47%</w:t>
            </w:r>
          </w:p>
        </w:tc>
        <w:tc>
          <w:tcPr>
            <w:tcW w:w="990" w:type="dxa"/>
            <w:tcBorders>
              <w:top w:val="nil"/>
              <w:left w:val="nil"/>
              <w:right w:val="nil"/>
            </w:tcBorders>
          </w:tcPr>
          <w:p w14:paraId="6D037E5F"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right w:val="nil"/>
            </w:tcBorders>
          </w:tcPr>
          <w:p w14:paraId="3A13E378"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268BB2CB" w14:textId="77777777" w:rsidTr="00836ADF">
        <w:trPr>
          <w:trHeight w:val="279"/>
        </w:trPr>
        <w:tc>
          <w:tcPr>
            <w:tcW w:w="3780" w:type="dxa"/>
            <w:tcBorders>
              <w:top w:val="nil"/>
              <w:left w:val="nil"/>
              <w:right w:val="nil"/>
            </w:tcBorders>
          </w:tcPr>
          <w:p w14:paraId="2E680CE5"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No visit response</w:t>
            </w:r>
          </w:p>
        </w:tc>
        <w:tc>
          <w:tcPr>
            <w:tcW w:w="1170" w:type="dxa"/>
            <w:tcBorders>
              <w:top w:val="nil"/>
              <w:left w:val="nil"/>
              <w:right w:val="nil"/>
            </w:tcBorders>
          </w:tcPr>
          <w:p w14:paraId="68C37066"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27</w:t>
            </w:r>
          </w:p>
        </w:tc>
        <w:tc>
          <w:tcPr>
            <w:tcW w:w="1350" w:type="dxa"/>
            <w:tcBorders>
              <w:top w:val="nil"/>
              <w:left w:val="nil"/>
              <w:right w:val="nil"/>
            </w:tcBorders>
          </w:tcPr>
          <w:p w14:paraId="2CBBF6A3"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12.16%</w:t>
            </w:r>
          </w:p>
        </w:tc>
        <w:tc>
          <w:tcPr>
            <w:tcW w:w="990" w:type="dxa"/>
            <w:tcBorders>
              <w:top w:val="nil"/>
              <w:left w:val="nil"/>
              <w:right w:val="nil"/>
            </w:tcBorders>
          </w:tcPr>
          <w:p w14:paraId="41F18F2D"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right w:val="nil"/>
            </w:tcBorders>
          </w:tcPr>
          <w:p w14:paraId="6B0E8185"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5C9B47FC" w14:textId="77777777" w:rsidTr="00836ADF">
        <w:tc>
          <w:tcPr>
            <w:tcW w:w="3780" w:type="dxa"/>
            <w:tcBorders>
              <w:top w:val="nil"/>
              <w:left w:val="nil"/>
              <w:right w:val="nil"/>
            </w:tcBorders>
          </w:tcPr>
          <w:p w14:paraId="5856E9BD"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Prefer not to be visited</w:t>
            </w:r>
          </w:p>
        </w:tc>
        <w:tc>
          <w:tcPr>
            <w:tcW w:w="1170" w:type="dxa"/>
            <w:tcBorders>
              <w:top w:val="nil"/>
              <w:left w:val="nil"/>
              <w:right w:val="nil"/>
            </w:tcBorders>
          </w:tcPr>
          <w:p w14:paraId="1951E94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1350" w:type="dxa"/>
            <w:tcBorders>
              <w:top w:val="nil"/>
              <w:left w:val="nil"/>
              <w:right w:val="nil"/>
            </w:tcBorders>
          </w:tcPr>
          <w:p w14:paraId="766E242C"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990" w:type="dxa"/>
            <w:tcBorders>
              <w:top w:val="nil"/>
              <w:left w:val="nil"/>
              <w:right w:val="nil"/>
            </w:tcBorders>
          </w:tcPr>
          <w:p w14:paraId="7A6EA9B6"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right w:val="nil"/>
            </w:tcBorders>
          </w:tcPr>
          <w:p w14:paraId="0271A388"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5BC00F4E" w14:textId="77777777" w:rsidTr="00836ADF">
        <w:tc>
          <w:tcPr>
            <w:tcW w:w="3780" w:type="dxa"/>
            <w:tcBorders>
              <w:top w:val="nil"/>
              <w:left w:val="nil"/>
              <w:right w:val="nil"/>
            </w:tcBorders>
          </w:tcPr>
          <w:p w14:paraId="4C257580"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No (reference)</w:t>
            </w:r>
          </w:p>
        </w:tc>
        <w:tc>
          <w:tcPr>
            <w:tcW w:w="1170" w:type="dxa"/>
            <w:tcBorders>
              <w:top w:val="nil"/>
              <w:left w:val="nil"/>
              <w:right w:val="nil"/>
            </w:tcBorders>
          </w:tcPr>
          <w:p w14:paraId="54199002"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188</w:t>
            </w:r>
          </w:p>
        </w:tc>
        <w:tc>
          <w:tcPr>
            <w:tcW w:w="1350" w:type="dxa"/>
            <w:tcBorders>
              <w:top w:val="nil"/>
              <w:left w:val="nil"/>
              <w:right w:val="nil"/>
            </w:tcBorders>
          </w:tcPr>
          <w:p w14:paraId="73B674C4"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84.68%</w:t>
            </w:r>
          </w:p>
        </w:tc>
        <w:tc>
          <w:tcPr>
            <w:tcW w:w="990" w:type="dxa"/>
            <w:tcBorders>
              <w:top w:val="nil"/>
              <w:left w:val="nil"/>
              <w:right w:val="nil"/>
            </w:tcBorders>
          </w:tcPr>
          <w:p w14:paraId="39AA6D74"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right w:val="nil"/>
            </w:tcBorders>
          </w:tcPr>
          <w:p w14:paraId="5A35C47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0C1B7FEB" w14:textId="77777777" w:rsidTr="00836ADF">
        <w:trPr>
          <w:trHeight w:val="342"/>
        </w:trPr>
        <w:tc>
          <w:tcPr>
            <w:tcW w:w="3780" w:type="dxa"/>
            <w:tcBorders>
              <w:top w:val="nil"/>
              <w:left w:val="nil"/>
              <w:right w:val="nil"/>
            </w:tcBorders>
          </w:tcPr>
          <w:p w14:paraId="72181500"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Yes</w:t>
            </w:r>
          </w:p>
        </w:tc>
        <w:tc>
          <w:tcPr>
            <w:tcW w:w="1170" w:type="dxa"/>
            <w:tcBorders>
              <w:top w:val="nil"/>
              <w:left w:val="nil"/>
              <w:right w:val="nil"/>
            </w:tcBorders>
          </w:tcPr>
          <w:p w14:paraId="20EA8FE5"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34</w:t>
            </w:r>
          </w:p>
        </w:tc>
        <w:tc>
          <w:tcPr>
            <w:tcW w:w="1350" w:type="dxa"/>
            <w:tcBorders>
              <w:top w:val="nil"/>
              <w:left w:val="nil"/>
              <w:right w:val="nil"/>
            </w:tcBorders>
          </w:tcPr>
          <w:p w14:paraId="619F176F"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15.32%</w:t>
            </w:r>
          </w:p>
        </w:tc>
        <w:tc>
          <w:tcPr>
            <w:tcW w:w="990" w:type="dxa"/>
            <w:tcBorders>
              <w:top w:val="nil"/>
              <w:left w:val="nil"/>
              <w:right w:val="nil"/>
            </w:tcBorders>
          </w:tcPr>
          <w:p w14:paraId="2F52F5F6"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right w:val="nil"/>
            </w:tcBorders>
          </w:tcPr>
          <w:p w14:paraId="1CB2A2C7"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176E74D3" w14:textId="77777777" w:rsidTr="00836ADF">
        <w:tc>
          <w:tcPr>
            <w:tcW w:w="3780" w:type="dxa"/>
            <w:tcBorders>
              <w:top w:val="nil"/>
              <w:left w:val="nil"/>
              <w:bottom w:val="nil"/>
              <w:right w:val="nil"/>
            </w:tcBorders>
          </w:tcPr>
          <w:p w14:paraId="160702C3"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Hours of travel between counties</w:t>
            </w:r>
          </w:p>
        </w:tc>
        <w:tc>
          <w:tcPr>
            <w:tcW w:w="1170" w:type="dxa"/>
            <w:tcBorders>
              <w:top w:val="nil"/>
              <w:left w:val="nil"/>
              <w:bottom w:val="nil"/>
              <w:right w:val="nil"/>
            </w:tcBorders>
          </w:tcPr>
          <w:p w14:paraId="2601A2A5"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3.204</w:t>
            </w:r>
          </w:p>
        </w:tc>
        <w:tc>
          <w:tcPr>
            <w:tcW w:w="1350" w:type="dxa"/>
            <w:tcBorders>
              <w:top w:val="nil"/>
              <w:left w:val="nil"/>
              <w:bottom w:val="nil"/>
              <w:right w:val="nil"/>
            </w:tcBorders>
          </w:tcPr>
          <w:p w14:paraId="27C96970"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1.666</w:t>
            </w:r>
          </w:p>
        </w:tc>
        <w:tc>
          <w:tcPr>
            <w:tcW w:w="990" w:type="dxa"/>
            <w:tcBorders>
              <w:top w:val="nil"/>
              <w:left w:val="nil"/>
              <w:bottom w:val="nil"/>
              <w:right w:val="nil"/>
            </w:tcBorders>
          </w:tcPr>
          <w:p w14:paraId="74DEAAD3"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.480</w:t>
            </w:r>
          </w:p>
        </w:tc>
        <w:tc>
          <w:tcPr>
            <w:tcW w:w="1260" w:type="dxa"/>
            <w:tcBorders>
              <w:top w:val="nil"/>
              <w:left w:val="nil"/>
              <w:bottom w:val="nil"/>
              <w:right w:val="nil"/>
            </w:tcBorders>
          </w:tcPr>
          <w:p w14:paraId="1D4C6940"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6.110</w:t>
            </w:r>
          </w:p>
        </w:tc>
      </w:tr>
      <w:tr w:rsidR="00056045" w:rsidRPr="000E00C1" w14:paraId="25881BEA" w14:textId="77777777" w:rsidTr="00836ADF">
        <w:tc>
          <w:tcPr>
            <w:tcW w:w="3780" w:type="dxa"/>
            <w:tcBorders>
              <w:top w:val="nil"/>
              <w:left w:val="nil"/>
              <w:bottom w:val="nil"/>
              <w:right w:val="nil"/>
            </w:tcBorders>
          </w:tcPr>
          <w:p w14:paraId="03847B74"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Visiting is difficult for visitors</w:t>
            </w:r>
          </w:p>
        </w:tc>
        <w:tc>
          <w:tcPr>
            <w:tcW w:w="1170" w:type="dxa"/>
            <w:tcBorders>
              <w:top w:val="nil"/>
              <w:left w:val="nil"/>
              <w:bottom w:val="nil"/>
              <w:right w:val="nil"/>
            </w:tcBorders>
          </w:tcPr>
          <w:p w14:paraId="0C80B87B"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1350" w:type="dxa"/>
            <w:tcBorders>
              <w:top w:val="nil"/>
              <w:left w:val="nil"/>
              <w:bottom w:val="nil"/>
              <w:right w:val="nil"/>
            </w:tcBorders>
          </w:tcPr>
          <w:p w14:paraId="41320805"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990" w:type="dxa"/>
            <w:tcBorders>
              <w:top w:val="nil"/>
              <w:left w:val="nil"/>
              <w:bottom w:val="nil"/>
              <w:right w:val="nil"/>
            </w:tcBorders>
          </w:tcPr>
          <w:p w14:paraId="376A90A4"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0E3BC1D7"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1CB3E6DB" w14:textId="77777777" w:rsidTr="00836ADF">
        <w:trPr>
          <w:trHeight w:val="261"/>
        </w:trPr>
        <w:tc>
          <w:tcPr>
            <w:tcW w:w="3780" w:type="dxa"/>
            <w:tcBorders>
              <w:top w:val="nil"/>
              <w:left w:val="nil"/>
              <w:bottom w:val="nil"/>
              <w:right w:val="nil"/>
            </w:tcBorders>
          </w:tcPr>
          <w:p w14:paraId="71A3AC6F"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No (reference)</w:t>
            </w:r>
          </w:p>
        </w:tc>
        <w:tc>
          <w:tcPr>
            <w:tcW w:w="1170" w:type="dxa"/>
            <w:tcBorders>
              <w:top w:val="nil"/>
              <w:left w:val="nil"/>
              <w:bottom w:val="nil"/>
              <w:right w:val="nil"/>
            </w:tcBorders>
          </w:tcPr>
          <w:p w14:paraId="2F1B02A8"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65</w:t>
            </w:r>
          </w:p>
        </w:tc>
        <w:tc>
          <w:tcPr>
            <w:tcW w:w="1350" w:type="dxa"/>
            <w:tcBorders>
              <w:top w:val="nil"/>
              <w:left w:val="nil"/>
              <w:bottom w:val="nil"/>
              <w:right w:val="nil"/>
            </w:tcBorders>
          </w:tcPr>
          <w:p w14:paraId="3A41A2E6"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29.28%</w:t>
            </w:r>
          </w:p>
        </w:tc>
        <w:tc>
          <w:tcPr>
            <w:tcW w:w="990" w:type="dxa"/>
            <w:tcBorders>
              <w:top w:val="nil"/>
              <w:left w:val="nil"/>
              <w:bottom w:val="nil"/>
              <w:right w:val="nil"/>
            </w:tcBorders>
          </w:tcPr>
          <w:p w14:paraId="0313306B"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12352AB4"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0DC5A7AE" w14:textId="77777777" w:rsidTr="00836ADF">
        <w:trPr>
          <w:trHeight w:val="189"/>
        </w:trPr>
        <w:tc>
          <w:tcPr>
            <w:tcW w:w="3780" w:type="dxa"/>
            <w:tcBorders>
              <w:top w:val="nil"/>
              <w:left w:val="nil"/>
              <w:bottom w:val="nil"/>
              <w:right w:val="nil"/>
            </w:tcBorders>
          </w:tcPr>
          <w:p w14:paraId="3CAC1129"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Yes</w:t>
            </w:r>
          </w:p>
        </w:tc>
        <w:tc>
          <w:tcPr>
            <w:tcW w:w="1170" w:type="dxa"/>
            <w:tcBorders>
              <w:top w:val="nil"/>
              <w:left w:val="nil"/>
              <w:bottom w:val="nil"/>
              <w:right w:val="nil"/>
            </w:tcBorders>
          </w:tcPr>
          <w:p w14:paraId="301B352D"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157</w:t>
            </w:r>
          </w:p>
        </w:tc>
        <w:tc>
          <w:tcPr>
            <w:tcW w:w="1350" w:type="dxa"/>
            <w:tcBorders>
              <w:top w:val="nil"/>
              <w:left w:val="nil"/>
              <w:bottom w:val="nil"/>
              <w:right w:val="nil"/>
            </w:tcBorders>
          </w:tcPr>
          <w:p w14:paraId="1ED3CCAD"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70.72%</w:t>
            </w:r>
          </w:p>
        </w:tc>
        <w:tc>
          <w:tcPr>
            <w:tcW w:w="990" w:type="dxa"/>
            <w:tcBorders>
              <w:top w:val="nil"/>
              <w:left w:val="nil"/>
              <w:bottom w:val="nil"/>
              <w:right w:val="nil"/>
            </w:tcBorders>
          </w:tcPr>
          <w:p w14:paraId="3E5FCDB5"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7C636FD1"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5197C0A0" w14:textId="77777777" w:rsidTr="00836ADF">
        <w:trPr>
          <w:trHeight w:val="351"/>
        </w:trPr>
        <w:tc>
          <w:tcPr>
            <w:tcW w:w="3780" w:type="dxa"/>
            <w:tcBorders>
              <w:top w:val="nil"/>
              <w:left w:val="nil"/>
              <w:bottom w:val="nil"/>
              <w:right w:val="nil"/>
            </w:tcBorders>
          </w:tcPr>
          <w:p w14:paraId="72BE7056"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Number of recent visits</w:t>
            </w:r>
          </w:p>
        </w:tc>
        <w:tc>
          <w:tcPr>
            <w:tcW w:w="1170" w:type="dxa"/>
            <w:tcBorders>
              <w:top w:val="nil"/>
              <w:left w:val="nil"/>
              <w:bottom w:val="nil"/>
              <w:right w:val="nil"/>
            </w:tcBorders>
          </w:tcPr>
          <w:p w14:paraId="0EE880F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4.698</w:t>
            </w:r>
          </w:p>
        </w:tc>
        <w:tc>
          <w:tcPr>
            <w:tcW w:w="1350" w:type="dxa"/>
            <w:tcBorders>
              <w:top w:val="nil"/>
              <w:left w:val="nil"/>
              <w:bottom w:val="nil"/>
              <w:right w:val="nil"/>
            </w:tcBorders>
          </w:tcPr>
          <w:p w14:paraId="08A74E08"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8.909</w:t>
            </w:r>
          </w:p>
        </w:tc>
        <w:tc>
          <w:tcPr>
            <w:tcW w:w="990" w:type="dxa"/>
            <w:tcBorders>
              <w:top w:val="nil"/>
              <w:left w:val="nil"/>
              <w:bottom w:val="nil"/>
              <w:right w:val="nil"/>
            </w:tcBorders>
          </w:tcPr>
          <w:p w14:paraId="15695064"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0</w:t>
            </w:r>
          </w:p>
        </w:tc>
        <w:tc>
          <w:tcPr>
            <w:tcW w:w="1260" w:type="dxa"/>
            <w:tcBorders>
              <w:top w:val="nil"/>
              <w:left w:val="nil"/>
              <w:bottom w:val="nil"/>
              <w:right w:val="nil"/>
            </w:tcBorders>
          </w:tcPr>
          <w:p w14:paraId="043DCAB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60</w:t>
            </w:r>
          </w:p>
        </w:tc>
      </w:tr>
      <w:tr w:rsidR="00056045" w:rsidRPr="000E00C1" w14:paraId="75221A13" w14:textId="77777777" w:rsidTr="00836ADF">
        <w:trPr>
          <w:trHeight w:val="315"/>
        </w:trPr>
        <w:tc>
          <w:tcPr>
            <w:tcW w:w="3780" w:type="dxa"/>
            <w:tcBorders>
              <w:top w:val="nil"/>
              <w:left w:val="nil"/>
              <w:bottom w:val="nil"/>
              <w:right w:val="nil"/>
            </w:tcBorders>
          </w:tcPr>
          <w:p w14:paraId="45C59FA7"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‘Prison Family’ Nominations</w:t>
            </w:r>
          </w:p>
        </w:tc>
        <w:tc>
          <w:tcPr>
            <w:tcW w:w="1170" w:type="dxa"/>
            <w:tcBorders>
              <w:top w:val="nil"/>
              <w:left w:val="nil"/>
              <w:bottom w:val="nil"/>
              <w:right w:val="nil"/>
            </w:tcBorders>
          </w:tcPr>
          <w:p w14:paraId="498AA83A"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2.171</w:t>
            </w:r>
          </w:p>
        </w:tc>
        <w:tc>
          <w:tcPr>
            <w:tcW w:w="1350" w:type="dxa"/>
            <w:tcBorders>
              <w:top w:val="nil"/>
              <w:left w:val="nil"/>
              <w:bottom w:val="nil"/>
              <w:right w:val="nil"/>
            </w:tcBorders>
          </w:tcPr>
          <w:p w14:paraId="67649BC0"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2.171</w:t>
            </w:r>
          </w:p>
        </w:tc>
        <w:tc>
          <w:tcPr>
            <w:tcW w:w="990" w:type="dxa"/>
            <w:tcBorders>
              <w:top w:val="nil"/>
              <w:left w:val="nil"/>
              <w:bottom w:val="nil"/>
              <w:right w:val="nil"/>
            </w:tcBorders>
          </w:tcPr>
          <w:p w14:paraId="19B7F70F"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0</w:t>
            </w:r>
          </w:p>
        </w:tc>
        <w:tc>
          <w:tcPr>
            <w:tcW w:w="1260" w:type="dxa"/>
            <w:tcBorders>
              <w:top w:val="nil"/>
              <w:left w:val="nil"/>
              <w:bottom w:val="nil"/>
              <w:right w:val="nil"/>
            </w:tcBorders>
          </w:tcPr>
          <w:p w14:paraId="418DB9EA"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11</w:t>
            </w:r>
          </w:p>
        </w:tc>
      </w:tr>
      <w:tr w:rsidR="00056045" w:rsidRPr="000E00C1" w14:paraId="4F287FEA" w14:textId="77777777" w:rsidTr="00836ADF">
        <w:trPr>
          <w:trHeight w:val="297"/>
        </w:trPr>
        <w:tc>
          <w:tcPr>
            <w:tcW w:w="3780" w:type="dxa"/>
            <w:tcBorders>
              <w:top w:val="nil"/>
              <w:left w:val="nil"/>
              <w:bottom w:val="nil"/>
              <w:right w:val="nil"/>
            </w:tcBorders>
          </w:tcPr>
          <w:p w14:paraId="384F4376"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Respondent age</w:t>
            </w:r>
          </w:p>
        </w:tc>
        <w:tc>
          <w:tcPr>
            <w:tcW w:w="1170" w:type="dxa"/>
            <w:tcBorders>
              <w:top w:val="nil"/>
              <w:left w:val="nil"/>
              <w:bottom w:val="nil"/>
              <w:right w:val="nil"/>
            </w:tcBorders>
          </w:tcPr>
          <w:p w14:paraId="53DBE9BF"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43.840</w:t>
            </w:r>
          </w:p>
        </w:tc>
        <w:tc>
          <w:tcPr>
            <w:tcW w:w="1350" w:type="dxa"/>
            <w:tcBorders>
              <w:top w:val="nil"/>
              <w:left w:val="nil"/>
              <w:bottom w:val="nil"/>
              <w:right w:val="nil"/>
            </w:tcBorders>
          </w:tcPr>
          <w:p w14:paraId="36A32319"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11.809</w:t>
            </w:r>
          </w:p>
        </w:tc>
        <w:tc>
          <w:tcPr>
            <w:tcW w:w="990" w:type="dxa"/>
            <w:tcBorders>
              <w:top w:val="nil"/>
              <w:left w:val="nil"/>
              <w:bottom w:val="nil"/>
              <w:right w:val="nil"/>
            </w:tcBorders>
          </w:tcPr>
          <w:p w14:paraId="2B864056"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22.448</w:t>
            </w:r>
          </w:p>
        </w:tc>
        <w:tc>
          <w:tcPr>
            <w:tcW w:w="1260" w:type="dxa"/>
            <w:tcBorders>
              <w:top w:val="nil"/>
              <w:left w:val="nil"/>
              <w:bottom w:val="nil"/>
              <w:right w:val="nil"/>
            </w:tcBorders>
          </w:tcPr>
          <w:p w14:paraId="585EFD4E"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77.197</w:t>
            </w:r>
          </w:p>
        </w:tc>
      </w:tr>
      <w:tr w:rsidR="00056045" w:rsidRPr="000E00C1" w14:paraId="328371E6" w14:textId="77777777" w:rsidTr="00836ADF">
        <w:trPr>
          <w:trHeight w:val="360"/>
        </w:trPr>
        <w:tc>
          <w:tcPr>
            <w:tcW w:w="3780" w:type="dxa"/>
            <w:tcBorders>
              <w:top w:val="nil"/>
              <w:left w:val="nil"/>
              <w:bottom w:val="nil"/>
              <w:right w:val="nil"/>
            </w:tcBorders>
          </w:tcPr>
          <w:p w14:paraId="5FC00108"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Respondent Race</w:t>
            </w:r>
          </w:p>
        </w:tc>
        <w:tc>
          <w:tcPr>
            <w:tcW w:w="1170" w:type="dxa"/>
            <w:tcBorders>
              <w:top w:val="nil"/>
              <w:left w:val="nil"/>
              <w:bottom w:val="nil"/>
              <w:right w:val="nil"/>
            </w:tcBorders>
          </w:tcPr>
          <w:p w14:paraId="63F4859E"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1350" w:type="dxa"/>
            <w:tcBorders>
              <w:top w:val="nil"/>
              <w:left w:val="nil"/>
              <w:bottom w:val="nil"/>
              <w:right w:val="nil"/>
            </w:tcBorders>
          </w:tcPr>
          <w:p w14:paraId="36B6E5F3"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990" w:type="dxa"/>
            <w:tcBorders>
              <w:top w:val="nil"/>
              <w:left w:val="nil"/>
              <w:bottom w:val="nil"/>
              <w:right w:val="nil"/>
            </w:tcBorders>
          </w:tcPr>
          <w:p w14:paraId="21A0762B"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23E20FC3"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2C06E7F5" w14:textId="77777777" w:rsidTr="00836ADF">
        <w:trPr>
          <w:trHeight w:val="360"/>
        </w:trPr>
        <w:tc>
          <w:tcPr>
            <w:tcW w:w="3780" w:type="dxa"/>
            <w:tcBorders>
              <w:top w:val="nil"/>
              <w:left w:val="nil"/>
              <w:bottom w:val="nil"/>
              <w:right w:val="nil"/>
            </w:tcBorders>
          </w:tcPr>
          <w:p w14:paraId="77B55806"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Non-white (reference)</w:t>
            </w:r>
          </w:p>
        </w:tc>
        <w:tc>
          <w:tcPr>
            <w:tcW w:w="1170" w:type="dxa"/>
            <w:tcBorders>
              <w:top w:val="nil"/>
              <w:left w:val="nil"/>
              <w:bottom w:val="nil"/>
              <w:right w:val="nil"/>
            </w:tcBorders>
          </w:tcPr>
          <w:p w14:paraId="02FEC55C"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71</w:t>
            </w:r>
          </w:p>
        </w:tc>
        <w:tc>
          <w:tcPr>
            <w:tcW w:w="1350" w:type="dxa"/>
            <w:tcBorders>
              <w:top w:val="nil"/>
              <w:left w:val="nil"/>
              <w:bottom w:val="nil"/>
              <w:right w:val="nil"/>
            </w:tcBorders>
          </w:tcPr>
          <w:p w14:paraId="02E6128C"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31.98%</w:t>
            </w:r>
          </w:p>
        </w:tc>
        <w:tc>
          <w:tcPr>
            <w:tcW w:w="990" w:type="dxa"/>
            <w:tcBorders>
              <w:top w:val="nil"/>
              <w:left w:val="nil"/>
              <w:bottom w:val="nil"/>
              <w:right w:val="nil"/>
            </w:tcBorders>
          </w:tcPr>
          <w:p w14:paraId="4F623A36"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066000A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6B58B429" w14:textId="77777777" w:rsidTr="00836ADF">
        <w:trPr>
          <w:trHeight w:val="360"/>
        </w:trPr>
        <w:tc>
          <w:tcPr>
            <w:tcW w:w="3780" w:type="dxa"/>
            <w:tcBorders>
              <w:top w:val="nil"/>
              <w:left w:val="nil"/>
              <w:bottom w:val="nil"/>
              <w:right w:val="nil"/>
            </w:tcBorders>
          </w:tcPr>
          <w:p w14:paraId="1FFD6631"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Non-Hispanic white</w:t>
            </w:r>
          </w:p>
        </w:tc>
        <w:tc>
          <w:tcPr>
            <w:tcW w:w="1170" w:type="dxa"/>
            <w:tcBorders>
              <w:top w:val="nil"/>
              <w:left w:val="nil"/>
              <w:bottom w:val="nil"/>
              <w:right w:val="nil"/>
            </w:tcBorders>
          </w:tcPr>
          <w:p w14:paraId="57462484"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151</w:t>
            </w:r>
          </w:p>
        </w:tc>
        <w:tc>
          <w:tcPr>
            <w:tcW w:w="1350" w:type="dxa"/>
            <w:tcBorders>
              <w:top w:val="nil"/>
              <w:left w:val="nil"/>
              <w:bottom w:val="nil"/>
              <w:right w:val="nil"/>
            </w:tcBorders>
          </w:tcPr>
          <w:p w14:paraId="38F3B71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68.02%</w:t>
            </w:r>
          </w:p>
        </w:tc>
        <w:tc>
          <w:tcPr>
            <w:tcW w:w="990" w:type="dxa"/>
            <w:tcBorders>
              <w:top w:val="nil"/>
              <w:left w:val="nil"/>
              <w:bottom w:val="nil"/>
              <w:right w:val="nil"/>
            </w:tcBorders>
          </w:tcPr>
          <w:p w14:paraId="78C2DC37"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66873066"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710B63EC" w14:textId="77777777" w:rsidTr="00836ADF">
        <w:trPr>
          <w:trHeight w:val="360"/>
        </w:trPr>
        <w:tc>
          <w:tcPr>
            <w:tcW w:w="3780" w:type="dxa"/>
            <w:tcBorders>
              <w:top w:val="nil"/>
              <w:left w:val="nil"/>
              <w:bottom w:val="nil"/>
              <w:right w:val="nil"/>
            </w:tcBorders>
          </w:tcPr>
          <w:p w14:paraId="45047371"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Controlling OGS</w:t>
            </w:r>
          </w:p>
        </w:tc>
        <w:tc>
          <w:tcPr>
            <w:tcW w:w="1170" w:type="dxa"/>
            <w:tcBorders>
              <w:top w:val="nil"/>
              <w:left w:val="nil"/>
              <w:bottom w:val="nil"/>
              <w:right w:val="nil"/>
            </w:tcBorders>
          </w:tcPr>
          <w:p w14:paraId="56CD9B47"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10.135</w:t>
            </w:r>
          </w:p>
        </w:tc>
        <w:tc>
          <w:tcPr>
            <w:tcW w:w="1350" w:type="dxa"/>
            <w:tcBorders>
              <w:top w:val="nil"/>
              <w:left w:val="nil"/>
              <w:bottom w:val="nil"/>
              <w:right w:val="nil"/>
            </w:tcBorders>
          </w:tcPr>
          <w:p w14:paraId="28CADBD8"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4.960</w:t>
            </w:r>
          </w:p>
        </w:tc>
        <w:tc>
          <w:tcPr>
            <w:tcW w:w="990" w:type="dxa"/>
            <w:tcBorders>
              <w:top w:val="nil"/>
              <w:left w:val="nil"/>
              <w:bottom w:val="nil"/>
              <w:right w:val="nil"/>
            </w:tcBorders>
          </w:tcPr>
          <w:p w14:paraId="0960BA46"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w:t>
            </w:r>
          </w:p>
        </w:tc>
        <w:tc>
          <w:tcPr>
            <w:tcW w:w="1260" w:type="dxa"/>
            <w:tcBorders>
              <w:top w:val="nil"/>
              <w:left w:val="nil"/>
              <w:bottom w:val="nil"/>
              <w:right w:val="nil"/>
            </w:tcBorders>
          </w:tcPr>
          <w:p w14:paraId="5ED6C9D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18</w:t>
            </w:r>
          </w:p>
        </w:tc>
      </w:tr>
      <w:tr w:rsidR="00056045" w:rsidRPr="000E00C1" w14:paraId="55AA22F8" w14:textId="77777777" w:rsidTr="00836ADF">
        <w:trPr>
          <w:trHeight w:val="270"/>
        </w:trPr>
        <w:tc>
          <w:tcPr>
            <w:tcW w:w="3780" w:type="dxa"/>
            <w:tcBorders>
              <w:top w:val="nil"/>
              <w:left w:val="nil"/>
              <w:bottom w:val="nil"/>
              <w:right w:val="nil"/>
            </w:tcBorders>
          </w:tcPr>
          <w:p w14:paraId="5D0554DC"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Serving life sentence</w:t>
            </w:r>
          </w:p>
        </w:tc>
        <w:tc>
          <w:tcPr>
            <w:tcW w:w="1170" w:type="dxa"/>
            <w:tcBorders>
              <w:top w:val="nil"/>
              <w:left w:val="nil"/>
              <w:bottom w:val="nil"/>
              <w:right w:val="nil"/>
            </w:tcBorders>
          </w:tcPr>
          <w:p w14:paraId="30956D24"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1350" w:type="dxa"/>
            <w:tcBorders>
              <w:top w:val="nil"/>
              <w:left w:val="nil"/>
              <w:bottom w:val="nil"/>
              <w:right w:val="nil"/>
            </w:tcBorders>
          </w:tcPr>
          <w:p w14:paraId="6F88C329"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990" w:type="dxa"/>
            <w:tcBorders>
              <w:top w:val="nil"/>
              <w:left w:val="nil"/>
              <w:bottom w:val="nil"/>
              <w:right w:val="nil"/>
            </w:tcBorders>
          </w:tcPr>
          <w:p w14:paraId="6CB3E7DD"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4CD2FFB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6B18C803" w14:textId="77777777" w:rsidTr="00836ADF">
        <w:trPr>
          <w:trHeight w:val="261"/>
        </w:trPr>
        <w:tc>
          <w:tcPr>
            <w:tcW w:w="3780" w:type="dxa"/>
            <w:tcBorders>
              <w:top w:val="nil"/>
              <w:left w:val="nil"/>
              <w:bottom w:val="nil"/>
              <w:right w:val="nil"/>
            </w:tcBorders>
          </w:tcPr>
          <w:p w14:paraId="7B0C6319"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No (reference)</w:t>
            </w:r>
          </w:p>
        </w:tc>
        <w:tc>
          <w:tcPr>
            <w:tcW w:w="1170" w:type="dxa"/>
            <w:tcBorders>
              <w:top w:val="nil"/>
              <w:left w:val="nil"/>
              <w:bottom w:val="nil"/>
              <w:right w:val="nil"/>
            </w:tcBorders>
          </w:tcPr>
          <w:p w14:paraId="2542C293"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194</w:t>
            </w:r>
          </w:p>
        </w:tc>
        <w:tc>
          <w:tcPr>
            <w:tcW w:w="1350" w:type="dxa"/>
            <w:tcBorders>
              <w:top w:val="nil"/>
              <w:left w:val="nil"/>
              <w:bottom w:val="nil"/>
              <w:right w:val="nil"/>
            </w:tcBorders>
          </w:tcPr>
          <w:p w14:paraId="0D2F4B0F"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87.39%</w:t>
            </w:r>
          </w:p>
        </w:tc>
        <w:tc>
          <w:tcPr>
            <w:tcW w:w="990" w:type="dxa"/>
            <w:tcBorders>
              <w:top w:val="nil"/>
              <w:left w:val="nil"/>
              <w:bottom w:val="nil"/>
              <w:right w:val="nil"/>
            </w:tcBorders>
          </w:tcPr>
          <w:p w14:paraId="6A5F4721"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64389E2B"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29C102A2" w14:textId="77777777" w:rsidTr="00836ADF">
        <w:trPr>
          <w:trHeight w:val="261"/>
        </w:trPr>
        <w:tc>
          <w:tcPr>
            <w:tcW w:w="3780" w:type="dxa"/>
            <w:tcBorders>
              <w:top w:val="nil"/>
              <w:left w:val="nil"/>
              <w:bottom w:val="nil"/>
              <w:right w:val="nil"/>
            </w:tcBorders>
          </w:tcPr>
          <w:p w14:paraId="30BE069D"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Yes</w:t>
            </w:r>
          </w:p>
        </w:tc>
        <w:tc>
          <w:tcPr>
            <w:tcW w:w="1170" w:type="dxa"/>
            <w:tcBorders>
              <w:top w:val="nil"/>
              <w:left w:val="nil"/>
              <w:bottom w:val="nil"/>
              <w:right w:val="nil"/>
            </w:tcBorders>
          </w:tcPr>
          <w:p w14:paraId="051081B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28</w:t>
            </w:r>
          </w:p>
        </w:tc>
        <w:tc>
          <w:tcPr>
            <w:tcW w:w="1350" w:type="dxa"/>
            <w:tcBorders>
              <w:top w:val="nil"/>
              <w:left w:val="nil"/>
              <w:bottom w:val="nil"/>
              <w:right w:val="nil"/>
            </w:tcBorders>
          </w:tcPr>
          <w:p w14:paraId="654C0FCE"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12.61%</w:t>
            </w:r>
          </w:p>
        </w:tc>
        <w:tc>
          <w:tcPr>
            <w:tcW w:w="990" w:type="dxa"/>
            <w:tcBorders>
              <w:top w:val="nil"/>
              <w:left w:val="nil"/>
              <w:bottom w:val="nil"/>
              <w:right w:val="nil"/>
            </w:tcBorders>
          </w:tcPr>
          <w:p w14:paraId="32074DFE"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5D47E249"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2D0BA3D6" w14:textId="77777777" w:rsidTr="00836ADF">
        <w:trPr>
          <w:trHeight w:val="252"/>
        </w:trPr>
        <w:tc>
          <w:tcPr>
            <w:tcW w:w="3780" w:type="dxa"/>
            <w:tcBorders>
              <w:top w:val="nil"/>
              <w:left w:val="nil"/>
              <w:bottom w:val="nil"/>
              <w:right w:val="nil"/>
            </w:tcBorders>
          </w:tcPr>
          <w:p w14:paraId="6C8EBAD8"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Years spent in PADOC</w:t>
            </w:r>
          </w:p>
        </w:tc>
        <w:tc>
          <w:tcPr>
            <w:tcW w:w="1170" w:type="dxa"/>
            <w:tcBorders>
              <w:top w:val="nil"/>
              <w:left w:val="nil"/>
              <w:bottom w:val="nil"/>
              <w:right w:val="nil"/>
            </w:tcBorders>
          </w:tcPr>
          <w:p w14:paraId="3AA2E0F0"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7.015</w:t>
            </w:r>
          </w:p>
        </w:tc>
        <w:tc>
          <w:tcPr>
            <w:tcW w:w="1350" w:type="dxa"/>
            <w:tcBorders>
              <w:top w:val="nil"/>
              <w:left w:val="nil"/>
              <w:bottom w:val="nil"/>
              <w:right w:val="nil"/>
            </w:tcBorders>
          </w:tcPr>
          <w:p w14:paraId="159C2364"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8.921</w:t>
            </w:r>
          </w:p>
        </w:tc>
        <w:tc>
          <w:tcPr>
            <w:tcW w:w="990" w:type="dxa"/>
            <w:tcBorders>
              <w:top w:val="nil"/>
              <w:left w:val="nil"/>
              <w:bottom w:val="nil"/>
              <w:right w:val="nil"/>
            </w:tcBorders>
          </w:tcPr>
          <w:p w14:paraId="220682C1"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.162</w:t>
            </w:r>
          </w:p>
        </w:tc>
        <w:tc>
          <w:tcPr>
            <w:tcW w:w="1260" w:type="dxa"/>
            <w:tcBorders>
              <w:top w:val="nil"/>
              <w:left w:val="nil"/>
              <w:bottom w:val="nil"/>
              <w:right w:val="nil"/>
            </w:tcBorders>
          </w:tcPr>
          <w:p w14:paraId="6ED2EE44"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43.159</w:t>
            </w:r>
          </w:p>
        </w:tc>
      </w:tr>
      <w:tr w:rsidR="00056045" w:rsidRPr="000E00C1" w14:paraId="7A949461" w14:textId="77777777" w:rsidTr="00836ADF">
        <w:tc>
          <w:tcPr>
            <w:tcW w:w="3780" w:type="dxa"/>
            <w:tcBorders>
              <w:top w:val="nil"/>
              <w:left w:val="nil"/>
              <w:bottom w:val="nil"/>
              <w:right w:val="nil"/>
            </w:tcBorders>
          </w:tcPr>
          <w:p w14:paraId="32990968"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Offence Type</w:t>
            </w:r>
          </w:p>
        </w:tc>
        <w:tc>
          <w:tcPr>
            <w:tcW w:w="1170" w:type="dxa"/>
            <w:tcBorders>
              <w:top w:val="nil"/>
              <w:left w:val="nil"/>
              <w:bottom w:val="nil"/>
              <w:right w:val="nil"/>
            </w:tcBorders>
          </w:tcPr>
          <w:p w14:paraId="340AAB4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1350" w:type="dxa"/>
            <w:tcBorders>
              <w:top w:val="nil"/>
              <w:left w:val="nil"/>
              <w:bottom w:val="nil"/>
              <w:right w:val="nil"/>
            </w:tcBorders>
          </w:tcPr>
          <w:p w14:paraId="1858B99A"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990" w:type="dxa"/>
            <w:tcBorders>
              <w:top w:val="nil"/>
              <w:left w:val="nil"/>
              <w:bottom w:val="nil"/>
              <w:right w:val="nil"/>
            </w:tcBorders>
          </w:tcPr>
          <w:p w14:paraId="1ED50C62"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6E48D15B"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393D3477" w14:textId="77777777" w:rsidTr="00836ADF">
        <w:trPr>
          <w:trHeight w:val="351"/>
        </w:trPr>
        <w:tc>
          <w:tcPr>
            <w:tcW w:w="3780" w:type="dxa"/>
            <w:tcBorders>
              <w:top w:val="nil"/>
              <w:left w:val="nil"/>
              <w:bottom w:val="nil"/>
              <w:right w:val="nil"/>
            </w:tcBorders>
          </w:tcPr>
          <w:p w14:paraId="310D450D"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Violent (reference)</w:t>
            </w:r>
          </w:p>
        </w:tc>
        <w:tc>
          <w:tcPr>
            <w:tcW w:w="1170" w:type="dxa"/>
            <w:tcBorders>
              <w:top w:val="nil"/>
              <w:left w:val="nil"/>
              <w:bottom w:val="nil"/>
              <w:right w:val="nil"/>
            </w:tcBorders>
          </w:tcPr>
          <w:p w14:paraId="651EC848"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120</w:t>
            </w:r>
          </w:p>
        </w:tc>
        <w:tc>
          <w:tcPr>
            <w:tcW w:w="1350" w:type="dxa"/>
            <w:tcBorders>
              <w:top w:val="nil"/>
              <w:left w:val="nil"/>
              <w:bottom w:val="nil"/>
              <w:right w:val="nil"/>
            </w:tcBorders>
          </w:tcPr>
          <w:p w14:paraId="68F653B6"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54.05%</w:t>
            </w:r>
          </w:p>
        </w:tc>
        <w:tc>
          <w:tcPr>
            <w:tcW w:w="990" w:type="dxa"/>
            <w:tcBorders>
              <w:top w:val="nil"/>
              <w:left w:val="nil"/>
              <w:bottom w:val="nil"/>
              <w:right w:val="nil"/>
            </w:tcBorders>
          </w:tcPr>
          <w:p w14:paraId="4CF659FD"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21E715D4"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14B7D741" w14:textId="77777777" w:rsidTr="00836ADF">
        <w:tc>
          <w:tcPr>
            <w:tcW w:w="3780" w:type="dxa"/>
            <w:tcBorders>
              <w:top w:val="nil"/>
              <w:left w:val="nil"/>
              <w:bottom w:val="nil"/>
              <w:right w:val="nil"/>
            </w:tcBorders>
          </w:tcPr>
          <w:p w14:paraId="7C1299E2"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Drug</w:t>
            </w:r>
          </w:p>
        </w:tc>
        <w:tc>
          <w:tcPr>
            <w:tcW w:w="1170" w:type="dxa"/>
            <w:tcBorders>
              <w:top w:val="nil"/>
              <w:left w:val="nil"/>
              <w:bottom w:val="nil"/>
              <w:right w:val="nil"/>
            </w:tcBorders>
          </w:tcPr>
          <w:p w14:paraId="70A67F71"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41</w:t>
            </w:r>
          </w:p>
        </w:tc>
        <w:tc>
          <w:tcPr>
            <w:tcW w:w="1350" w:type="dxa"/>
            <w:tcBorders>
              <w:top w:val="nil"/>
              <w:left w:val="nil"/>
              <w:bottom w:val="nil"/>
              <w:right w:val="nil"/>
            </w:tcBorders>
          </w:tcPr>
          <w:p w14:paraId="3E73F422"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18.47%</w:t>
            </w:r>
          </w:p>
        </w:tc>
        <w:tc>
          <w:tcPr>
            <w:tcW w:w="990" w:type="dxa"/>
            <w:tcBorders>
              <w:top w:val="nil"/>
              <w:left w:val="nil"/>
              <w:bottom w:val="nil"/>
              <w:right w:val="nil"/>
            </w:tcBorders>
          </w:tcPr>
          <w:p w14:paraId="01698D5A"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496076BC"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1F194231" w14:textId="77777777" w:rsidTr="00836ADF">
        <w:tc>
          <w:tcPr>
            <w:tcW w:w="3780" w:type="dxa"/>
            <w:tcBorders>
              <w:top w:val="nil"/>
              <w:left w:val="nil"/>
              <w:bottom w:val="nil"/>
              <w:right w:val="nil"/>
            </w:tcBorders>
          </w:tcPr>
          <w:p w14:paraId="6BC98618"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Property</w:t>
            </w:r>
          </w:p>
        </w:tc>
        <w:tc>
          <w:tcPr>
            <w:tcW w:w="1170" w:type="dxa"/>
            <w:tcBorders>
              <w:top w:val="nil"/>
              <w:left w:val="nil"/>
              <w:bottom w:val="nil"/>
              <w:right w:val="nil"/>
            </w:tcBorders>
          </w:tcPr>
          <w:p w14:paraId="2D2A2A60"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35</w:t>
            </w:r>
          </w:p>
        </w:tc>
        <w:tc>
          <w:tcPr>
            <w:tcW w:w="1350" w:type="dxa"/>
            <w:tcBorders>
              <w:top w:val="nil"/>
              <w:left w:val="nil"/>
              <w:bottom w:val="nil"/>
              <w:right w:val="nil"/>
            </w:tcBorders>
          </w:tcPr>
          <w:p w14:paraId="45A86ED4"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15.77%</w:t>
            </w:r>
          </w:p>
        </w:tc>
        <w:tc>
          <w:tcPr>
            <w:tcW w:w="990" w:type="dxa"/>
            <w:tcBorders>
              <w:top w:val="nil"/>
              <w:left w:val="nil"/>
              <w:bottom w:val="nil"/>
              <w:right w:val="nil"/>
            </w:tcBorders>
          </w:tcPr>
          <w:p w14:paraId="69B09F91"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37E674BD"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44B8873F" w14:textId="77777777" w:rsidTr="00836ADF">
        <w:trPr>
          <w:trHeight w:val="135"/>
        </w:trPr>
        <w:tc>
          <w:tcPr>
            <w:tcW w:w="3780" w:type="dxa"/>
            <w:tcBorders>
              <w:top w:val="nil"/>
              <w:left w:val="nil"/>
              <w:bottom w:val="nil"/>
              <w:right w:val="nil"/>
            </w:tcBorders>
          </w:tcPr>
          <w:p w14:paraId="270D08E0"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Other</w:t>
            </w:r>
          </w:p>
        </w:tc>
        <w:tc>
          <w:tcPr>
            <w:tcW w:w="1170" w:type="dxa"/>
            <w:tcBorders>
              <w:top w:val="nil"/>
              <w:left w:val="nil"/>
              <w:bottom w:val="nil"/>
              <w:right w:val="nil"/>
            </w:tcBorders>
          </w:tcPr>
          <w:p w14:paraId="3A1A4042"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26</w:t>
            </w:r>
          </w:p>
        </w:tc>
        <w:tc>
          <w:tcPr>
            <w:tcW w:w="1350" w:type="dxa"/>
            <w:tcBorders>
              <w:top w:val="nil"/>
              <w:left w:val="nil"/>
              <w:bottom w:val="nil"/>
              <w:right w:val="nil"/>
            </w:tcBorders>
          </w:tcPr>
          <w:p w14:paraId="1C1FF760"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11.71%</w:t>
            </w:r>
          </w:p>
        </w:tc>
        <w:tc>
          <w:tcPr>
            <w:tcW w:w="990" w:type="dxa"/>
            <w:tcBorders>
              <w:top w:val="nil"/>
              <w:left w:val="nil"/>
              <w:bottom w:val="nil"/>
              <w:right w:val="nil"/>
            </w:tcBorders>
          </w:tcPr>
          <w:p w14:paraId="1161D7B9"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719D905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41BAD10F" w14:textId="77777777" w:rsidTr="00836ADF">
        <w:tc>
          <w:tcPr>
            <w:tcW w:w="3780" w:type="dxa"/>
            <w:tcBorders>
              <w:top w:val="nil"/>
              <w:left w:val="nil"/>
              <w:bottom w:val="nil"/>
              <w:right w:val="nil"/>
            </w:tcBorders>
          </w:tcPr>
          <w:p w14:paraId="762943BD"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Unit of residence</w:t>
            </w:r>
          </w:p>
        </w:tc>
        <w:tc>
          <w:tcPr>
            <w:tcW w:w="1170" w:type="dxa"/>
            <w:tcBorders>
              <w:top w:val="nil"/>
              <w:left w:val="nil"/>
              <w:bottom w:val="nil"/>
              <w:right w:val="nil"/>
            </w:tcBorders>
          </w:tcPr>
          <w:p w14:paraId="2818B148"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1350" w:type="dxa"/>
            <w:tcBorders>
              <w:top w:val="nil"/>
              <w:left w:val="nil"/>
              <w:bottom w:val="nil"/>
              <w:right w:val="nil"/>
            </w:tcBorders>
          </w:tcPr>
          <w:p w14:paraId="5655E84D"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p>
        </w:tc>
        <w:tc>
          <w:tcPr>
            <w:tcW w:w="990" w:type="dxa"/>
            <w:tcBorders>
              <w:top w:val="nil"/>
              <w:left w:val="nil"/>
              <w:bottom w:val="nil"/>
              <w:right w:val="nil"/>
            </w:tcBorders>
          </w:tcPr>
          <w:p w14:paraId="38BDC750"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63940CC5"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7EC8C209" w14:textId="77777777" w:rsidTr="00836ADF">
        <w:tc>
          <w:tcPr>
            <w:tcW w:w="3780" w:type="dxa"/>
            <w:tcBorders>
              <w:top w:val="nil"/>
              <w:left w:val="nil"/>
              <w:bottom w:val="nil"/>
              <w:right w:val="nil"/>
            </w:tcBorders>
          </w:tcPr>
          <w:p w14:paraId="36F31114"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Unit 1 (reference)</w:t>
            </w:r>
          </w:p>
        </w:tc>
        <w:tc>
          <w:tcPr>
            <w:tcW w:w="1170" w:type="dxa"/>
            <w:tcBorders>
              <w:top w:val="nil"/>
              <w:left w:val="nil"/>
              <w:bottom w:val="nil"/>
              <w:right w:val="nil"/>
            </w:tcBorders>
          </w:tcPr>
          <w:p w14:paraId="25E303EF"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103</w:t>
            </w:r>
          </w:p>
        </w:tc>
        <w:tc>
          <w:tcPr>
            <w:tcW w:w="1350" w:type="dxa"/>
            <w:tcBorders>
              <w:top w:val="nil"/>
              <w:left w:val="nil"/>
              <w:bottom w:val="nil"/>
              <w:right w:val="nil"/>
            </w:tcBorders>
          </w:tcPr>
          <w:p w14:paraId="111AAF3C"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46.40%</w:t>
            </w:r>
          </w:p>
        </w:tc>
        <w:tc>
          <w:tcPr>
            <w:tcW w:w="990" w:type="dxa"/>
            <w:tcBorders>
              <w:top w:val="nil"/>
              <w:left w:val="nil"/>
              <w:bottom w:val="nil"/>
              <w:right w:val="nil"/>
            </w:tcBorders>
          </w:tcPr>
          <w:p w14:paraId="47C1483E"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5CFD5C3F"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6BB07F4D" w14:textId="77777777" w:rsidTr="00836ADF">
        <w:tc>
          <w:tcPr>
            <w:tcW w:w="3780" w:type="dxa"/>
            <w:tcBorders>
              <w:top w:val="nil"/>
              <w:left w:val="nil"/>
              <w:bottom w:val="nil"/>
              <w:right w:val="nil"/>
            </w:tcBorders>
          </w:tcPr>
          <w:p w14:paraId="76C8DBB6"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Unit 2</w:t>
            </w:r>
          </w:p>
        </w:tc>
        <w:tc>
          <w:tcPr>
            <w:tcW w:w="1170" w:type="dxa"/>
            <w:tcBorders>
              <w:top w:val="nil"/>
              <w:left w:val="nil"/>
              <w:bottom w:val="nil"/>
              <w:right w:val="nil"/>
            </w:tcBorders>
          </w:tcPr>
          <w:p w14:paraId="12A1CC7B"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63</w:t>
            </w:r>
          </w:p>
        </w:tc>
        <w:tc>
          <w:tcPr>
            <w:tcW w:w="1350" w:type="dxa"/>
            <w:tcBorders>
              <w:top w:val="nil"/>
              <w:left w:val="nil"/>
              <w:bottom w:val="nil"/>
              <w:right w:val="nil"/>
            </w:tcBorders>
          </w:tcPr>
          <w:p w14:paraId="642E4BCB"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28.38%</w:t>
            </w:r>
          </w:p>
        </w:tc>
        <w:tc>
          <w:tcPr>
            <w:tcW w:w="990" w:type="dxa"/>
            <w:tcBorders>
              <w:top w:val="nil"/>
              <w:left w:val="nil"/>
              <w:bottom w:val="nil"/>
              <w:right w:val="nil"/>
            </w:tcBorders>
          </w:tcPr>
          <w:p w14:paraId="5F1EA507"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nil"/>
              <w:right w:val="nil"/>
            </w:tcBorders>
          </w:tcPr>
          <w:p w14:paraId="35ADE82B"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r w:rsidR="00056045" w:rsidRPr="000E00C1" w14:paraId="014E8CCC" w14:textId="77777777" w:rsidTr="00836ADF">
        <w:tc>
          <w:tcPr>
            <w:tcW w:w="3780" w:type="dxa"/>
            <w:tcBorders>
              <w:top w:val="nil"/>
              <w:left w:val="nil"/>
              <w:bottom w:val="single" w:sz="4" w:space="0" w:color="auto"/>
              <w:right w:val="nil"/>
            </w:tcBorders>
          </w:tcPr>
          <w:p w14:paraId="6D10AA53" w14:textId="77777777" w:rsidR="00056045" w:rsidRPr="009974E0" w:rsidRDefault="00056045" w:rsidP="00836ADF">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Unit 3</w:t>
            </w:r>
          </w:p>
        </w:tc>
        <w:tc>
          <w:tcPr>
            <w:tcW w:w="1170" w:type="dxa"/>
            <w:tcBorders>
              <w:top w:val="nil"/>
              <w:left w:val="nil"/>
              <w:bottom w:val="single" w:sz="4" w:space="0" w:color="auto"/>
              <w:right w:val="nil"/>
            </w:tcBorders>
          </w:tcPr>
          <w:p w14:paraId="33632E03"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56</w:t>
            </w:r>
          </w:p>
        </w:tc>
        <w:tc>
          <w:tcPr>
            <w:tcW w:w="1350" w:type="dxa"/>
            <w:tcBorders>
              <w:top w:val="nil"/>
              <w:left w:val="nil"/>
              <w:bottom w:val="single" w:sz="4" w:space="0" w:color="auto"/>
              <w:right w:val="nil"/>
            </w:tcBorders>
          </w:tcPr>
          <w:p w14:paraId="7EE8E64E" w14:textId="77777777" w:rsidR="00056045" w:rsidRPr="009974E0" w:rsidRDefault="00056045" w:rsidP="00836ADF">
            <w:pPr>
              <w:widowControl w:val="0"/>
              <w:tabs>
                <w:tab w:val="decimal" w:pos="342"/>
                <w:tab w:val="left" w:pos="372"/>
              </w:tabs>
              <w:autoSpaceDE w:val="0"/>
              <w:autoSpaceDN w:val="0"/>
              <w:adjustRightInd w:val="0"/>
              <w:spacing w:line="240" w:lineRule="auto"/>
              <w:jc w:val="right"/>
              <w:rPr>
                <w:rFonts w:eastAsia="Times New Roman" w:cs="Times New Roman"/>
                <w:sz w:val="20"/>
                <w:szCs w:val="18"/>
              </w:rPr>
            </w:pPr>
            <w:r w:rsidRPr="009974E0">
              <w:rPr>
                <w:rFonts w:eastAsia="Times New Roman" w:cs="Times New Roman"/>
                <w:sz w:val="20"/>
                <w:szCs w:val="18"/>
              </w:rPr>
              <w:t>25.23%</w:t>
            </w:r>
          </w:p>
        </w:tc>
        <w:tc>
          <w:tcPr>
            <w:tcW w:w="990" w:type="dxa"/>
            <w:tcBorders>
              <w:top w:val="nil"/>
              <w:left w:val="nil"/>
              <w:bottom w:val="single" w:sz="4" w:space="0" w:color="auto"/>
              <w:right w:val="nil"/>
            </w:tcBorders>
          </w:tcPr>
          <w:p w14:paraId="47D82789" w14:textId="77777777" w:rsidR="00056045" w:rsidRPr="009974E0" w:rsidRDefault="00056045" w:rsidP="00836ADF">
            <w:pPr>
              <w:widowControl w:val="0"/>
              <w:tabs>
                <w:tab w:val="decimal" w:pos="60"/>
              </w:tabs>
              <w:autoSpaceDE w:val="0"/>
              <w:autoSpaceDN w:val="0"/>
              <w:adjustRightInd w:val="0"/>
              <w:spacing w:line="240" w:lineRule="auto"/>
              <w:jc w:val="right"/>
              <w:rPr>
                <w:rFonts w:eastAsia="Times New Roman" w:cs="Times New Roman"/>
                <w:sz w:val="20"/>
                <w:szCs w:val="18"/>
              </w:rPr>
            </w:pPr>
          </w:p>
        </w:tc>
        <w:tc>
          <w:tcPr>
            <w:tcW w:w="1260" w:type="dxa"/>
            <w:tcBorders>
              <w:top w:val="nil"/>
              <w:left w:val="nil"/>
              <w:bottom w:val="single" w:sz="4" w:space="0" w:color="auto"/>
              <w:right w:val="nil"/>
            </w:tcBorders>
          </w:tcPr>
          <w:p w14:paraId="4A718D82" w14:textId="77777777" w:rsidR="00056045" w:rsidRPr="009974E0" w:rsidRDefault="00056045" w:rsidP="00836ADF">
            <w:pPr>
              <w:widowControl w:val="0"/>
              <w:autoSpaceDE w:val="0"/>
              <w:autoSpaceDN w:val="0"/>
              <w:adjustRightInd w:val="0"/>
              <w:spacing w:line="240" w:lineRule="auto"/>
              <w:jc w:val="right"/>
              <w:rPr>
                <w:rFonts w:eastAsia="Times New Roman" w:cs="Times New Roman"/>
                <w:sz w:val="20"/>
                <w:szCs w:val="18"/>
              </w:rPr>
            </w:pPr>
          </w:p>
        </w:tc>
      </w:tr>
    </w:tbl>
    <w:p w14:paraId="3D7C160C" w14:textId="77777777" w:rsidR="00056045" w:rsidRPr="009974E0" w:rsidRDefault="00056045" w:rsidP="00056045">
      <w:pPr>
        <w:spacing w:after="160" w:line="259" w:lineRule="auto"/>
        <w:rPr>
          <w:rFonts w:ascii="Calibri" w:eastAsia="Times New Roman" w:hAnsi="Calibri" w:cs="Times New Roman"/>
          <w:sz w:val="18"/>
          <w:szCs w:val="18"/>
        </w:rPr>
      </w:pPr>
    </w:p>
    <w:p w14:paraId="61D27F78" w14:textId="77777777" w:rsidR="000A0F0F" w:rsidRDefault="000A0F0F">
      <w:pPr>
        <w:spacing w:after="160" w:line="259" w:lineRule="auto"/>
      </w:pPr>
      <w:r>
        <w:br w:type="page"/>
      </w:r>
    </w:p>
    <w:p w14:paraId="686D45C2" w14:textId="2BB96C21" w:rsidR="005B6F5E" w:rsidRPr="009974E0" w:rsidRDefault="005B6F5E" w:rsidP="000B756B">
      <w:pPr>
        <w:spacing w:after="160" w:line="259" w:lineRule="auto"/>
        <w:rPr>
          <w:rFonts w:eastAsia="Times New Roman" w:cs="Times New Roman"/>
          <w:b/>
          <w:bCs/>
          <w:szCs w:val="24"/>
        </w:rPr>
      </w:pPr>
      <w:r w:rsidRPr="009974E0">
        <w:rPr>
          <w:rFonts w:eastAsia="Times New Roman" w:cs="Times New Roman"/>
          <w:b/>
          <w:bCs/>
          <w:szCs w:val="24"/>
        </w:rPr>
        <w:t xml:space="preserve">Table </w:t>
      </w:r>
      <w:r w:rsidR="00303F56">
        <w:rPr>
          <w:rFonts w:eastAsia="Times New Roman" w:cs="Times New Roman"/>
          <w:b/>
          <w:bCs/>
          <w:szCs w:val="24"/>
        </w:rPr>
        <w:t>7</w:t>
      </w:r>
      <w:r w:rsidR="00D55967">
        <w:rPr>
          <w:rFonts w:eastAsia="Times New Roman" w:cs="Times New Roman"/>
          <w:b/>
          <w:bCs/>
          <w:szCs w:val="24"/>
        </w:rPr>
        <w:t>.</w:t>
      </w:r>
      <w:r w:rsidRPr="009974E0">
        <w:rPr>
          <w:rFonts w:eastAsia="Times New Roman" w:cs="Times New Roman"/>
          <w:b/>
          <w:bCs/>
          <w:szCs w:val="24"/>
        </w:rPr>
        <w:t xml:space="preserve"> Overall Sentiment Regarding Visitation (Reference = Positive Tone) (N=222)</w:t>
      </w:r>
    </w:p>
    <w:tbl>
      <w:tblPr>
        <w:tblW w:w="9794" w:type="dxa"/>
        <w:tblLayout w:type="fixed"/>
        <w:tblLook w:val="0000" w:firstRow="0" w:lastRow="0" w:firstColumn="0" w:lastColumn="0" w:noHBand="0" w:noVBand="0"/>
      </w:tblPr>
      <w:tblGrid>
        <w:gridCol w:w="3510"/>
        <w:gridCol w:w="1350"/>
        <w:gridCol w:w="118"/>
        <w:gridCol w:w="782"/>
        <w:gridCol w:w="116"/>
        <w:gridCol w:w="784"/>
        <w:gridCol w:w="116"/>
        <w:gridCol w:w="784"/>
        <w:gridCol w:w="120"/>
        <w:gridCol w:w="960"/>
        <w:gridCol w:w="120"/>
        <w:gridCol w:w="780"/>
        <w:gridCol w:w="18"/>
        <w:gridCol w:w="100"/>
        <w:gridCol w:w="136"/>
      </w:tblGrid>
      <w:tr w:rsidR="005B6F5E" w:rsidRPr="005A0A52" w14:paraId="39022271" w14:textId="77777777" w:rsidTr="009974E0">
        <w:tc>
          <w:tcPr>
            <w:tcW w:w="3510" w:type="dxa"/>
            <w:tcBorders>
              <w:top w:val="single" w:sz="4" w:space="0" w:color="auto"/>
              <w:left w:val="nil"/>
              <w:bottom w:val="nil"/>
              <w:right w:val="nil"/>
            </w:tcBorders>
          </w:tcPr>
          <w:p w14:paraId="431A03C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1468" w:type="dxa"/>
            <w:gridSpan w:val="2"/>
            <w:tcBorders>
              <w:top w:val="single" w:sz="4" w:space="0" w:color="auto"/>
              <w:left w:val="nil"/>
              <w:bottom w:val="nil"/>
              <w:right w:val="nil"/>
            </w:tcBorders>
          </w:tcPr>
          <w:p w14:paraId="580F12F9" w14:textId="77777777" w:rsidR="005B6F5E" w:rsidRPr="009974E0" w:rsidRDefault="005B6F5E" w:rsidP="00BC538E">
            <w:pPr>
              <w:widowControl w:val="0"/>
              <w:autoSpaceDE w:val="0"/>
              <w:autoSpaceDN w:val="0"/>
              <w:adjustRightInd w:val="0"/>
              <w:spacing w:line="240" w:lineRule="auto"/>
              <w:jc w:val="center"/>
              <w:rPr>
                <w:rFonts w:eastAsia="Times New Roman" w:cs="Times New Roman"/>
                <w:sz w:val="20"/>
                <w:szCs w:val="18"/>
              </w:rPr>
            </w:pPr>
          </w:p>
        </w:tc>
        <w:tc>
          <w:tcPr>
            <w:tcW w:w="898" w:type="dxa"/>
            <w:gridSpan w:val="2"/>
            <w:tcBorders>
              <w:top w:val="single" w:sz="4" w:space="0" w:color="auto"/>
              <w:left w:val="nil"/>
              <w:bottom w:val="nil"/>
              <w:right w:val="nil"/>
            </w:tcBorders>
          </w:tcPr>
          <w:p w14:paraId="5557D111" w14:textId="77777777" w:rsidR="005B6F5E" w:rsidRPr="009974E0" w:rsidRDefault="005B6F5E" w:rsidP="00BC538E">
            <w:pPr>
              <w:widowControl w:val="0"/>
              <w:autoSpaceDE w:val="0"/>
              <w:autoSpaceDN w:val="0"/>
              <w:adjustRightInd w:val="0"/>
              <w:spacing w:line="240" w:lineRule="auto"/>
              <w:jc w:val="center"/>
              <w:rPr>
                <w:rFonts w:eastAsia="Times New Roman" w:cs="Times New Roman"/>
                <w:sz w:val="20"/>
                <w:szCs w:val="18"/>
              </w:rPr>
            </w:pPr>
          </w:p>
        </w:tc>
        <w:tc>
          <w:tcPr>
            <w:tcW w:w="900" w:type="dxa"/>
            <w:gridSpan w:val="2"/>
            <w:tcBorders>
              <w:top w:val="single" w:sz="4" w:space="0" w:color="auto"/>
              <w:left w:val="nil"/>
              <w:bottom w:val="nil"/>
              <w:right w:val="nil"/>
            </w:tcBorders>
          </w:tcPr>
          <w:p w14:paraId="24FC679F" w14:textId="77777777" w:rsidR="005B6F5E" w:rsidRPr="009974E0" w:rsidRDefault="005B6F5E" w:rsidP="00BC538E">
            <w:pPr>
              <w:widowControl w:val="0"/>
              <w:autoSpaceDE w:val="0"/>
              <w:autoSpaceDN w:val="0"/>
              <w:adjustRightInd w:val="0"/>
              <w:spacing w:line="240" w:lineRule="auto"/>
              <w:jc w:val="center"/>
              <w:rPr>
                <w:rFonts w:eastAsia="Times New Roman" w:cs="Times New Roman"/>
                <w:sz w:val="20"/>
                <w:szCs w:val="18"/>
              </w:rPr>
            </w:pPr>
          </w:p>
        </w:tc>
        <w:tc>
          <w:tcPr>
            <w:tcW w:w="904" w:type="dxa"/>
            <w:gridSpan w:val="2"/>
            <w:tcBorders>
              <w:top w:val="single" w:sz="4" w:space="0" w:color="auto"/>
              <w:left w:val="nil"/>
              <w:bottom w:val="nil"/>
              <w:right w:val="nil"/>
            </w:tcBorders>
          </w:tcPr>
          <w:p w14:paraId="02200E90" w14:textId="77777777" w:rsidR="005B6F5E" w:rsidRPr="009974E0" w:rsidRDefault="005B6F5E" w:rsidP="00BC538E">
            <w:pPr>
              <w:widowControl w:val="0"/>
              <w:autoSpaceDE w:val="0"/>
              <w:autoSpaceDN w:val="0"/>
              <w:adjustRightInd w:val="0"/>
              <w:spacing w:line="240" w:lineRule="auto"/>
              <w:jc w:val="center"/>
              <w:rPr>
                <w:rFonts w:eastAsia="Times New Roman" w:cs="Times New Roman"/>
                <w:sz w:val="20"/>
                <w:szCs w:val="18"/>
              </w:rPr>
            </w:pPr>
          </w:p>
        </w:tc>
        <w:tc>
          <w:tcPr>
            <w:tcW w:w="1878" w:type="dxa"/>
            <w:gridSpan w:val="4"/>
            <w:tcBorders>
              <w:top w:val="single" w:sz="4" w:space="0" w:color="auto"/>
              <w:left w:val="nil"/>
              <w:bottom w:val="nil"/>
              <w:right w:val="nil"/>
            </w:tcBorders>
          </w:tcPr>
          <w:p w14:paraId="22DB6EF3" w14:textId="77777777" w:rsidR="005B6F5E" w:rsidRPr="009974E0" w:rsidRDefault="005B6F5E" w:rsidP="00BC538E">
            <w:pPr>
              <w:widowControl w:val="0"/>
              <w:autoSpaceDE w:val="0"/>
              <w:autoSpaceDN w:val="0"/>
              <w:adjustRightInd w:val="0"/>
              <w:spacing w:line="240" w:lineRule="auto"/>
              <w:jc w:val="center"/>
              <w:rPr>
                <w:rFonts w:eastAsia="Times New Roman" w:cs="Times New Roman"/>
                <w:sz w:val="20"/>
                <w:szCs w:val="18"/>
              </w:rPr>
            </w:pPr>
          </w:p>
        </w:tc>
        <w:tc>
          <w:tcPr>
            <w:tcW w:w="236" w:type="dxa"/>
            <w:gridSpan w:val="2"/>
            <w:tcBorders>
              <w:top w:val="single" w:sz="4" w:space="0" w:color="auto"/>
              <w:left w:val="nil"/>
              <w:bottom w:val="nil"/>
              <w:right w:val="nil"/>
            </w:tcBorders>
          </w:tcPr>
          <w:p w14:paraId="573C2271" w14:textId="77777777" w:rsidR="005B6F5E" w:rsidRPr="009974E0" w:rsidRDefault="005B6F5E" w:rsidP="00BC538E">
            <w:pPr>
              <w:widowControl w:val="0"/>
              <w:autoSpaceDE w:val="0"/>
              <w:autoSpaceDN w:val="0"/>
              <w:adjustRightInd w:val="0"/>
              <w:spacing w:line="240" w:lineRule="auto"/>
              <w:jc w:val="center"/>
              <w:rPr>
                <w:rFonts w:eastAsia="Times New Roman" w:cs="Times New Roman"/>
                <w:sz w:val="20"/>
                <w:szCs w:val="18"/>
              </w:rPr>
            </w:pPr>
          </w:p>
        </w:tc>
      </w:tr>
      <w:tr w:rsidR="005B6F5E" w:rsidRPr="005A0A52" w14:paraId="1E8820B9" w14:textId="77777777" w:rsidTr="009974E0">
        <w:trPr>
          <w:gridAfter w:val="1"/>
          <w:wAfter w:w="136" w:type="dxa"/>
        </w:trPr>
        <w:tc>
          <w:tcPr>
            <w:tcW w:w="3510" w:type="dxa"/>
            <w:tcBorders>
              <w:top w:val="nil"/>
              <w:left w:val="nil"/>
              <w:bottom w:val="nil"/>
              <w:right w:val="nil"/>
            </w:tcBorders>
          </w:tcPr>
          <w:p w14:paraId="21F01747"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2366" w:type="dxa"/>
            <w:gridSpan w:val="4"/>
            <w:tcBorders>
              <w:top w:val="nil"/>
              <w:left w:val="nil"/>
              <w:bottom w:val="nil"/>
              <w:right w:val="nil"/>
            </w:tcBorders>
          </w:tcPr>
          <w:p w14:paraId="12B9CA8C" w14:textId="77777777" w:rsidR="005B6F5E" w:rsidRPr="009974E0" w:rsidRDefault="005B6F5E" w:rsidP="00BC538E">
            <w:pPr>
              <w:widowControl w:val="0"/>
              <w:autoSpaceDE w:val="0"/>
              <w:autoSpaceDN w:val="0"/>
              <w:adjustRightInd w:val="0"/>
              <w:spacing w:line="240" w:lineRule="auto"/>
              <w:jc w:val="center"/>
              <w:rPr>
                <w:rFonts w:eastAsia="Times New Roman" w:cs="Times New Roman"/>
                <w:sz w:val="20"/>
                <w:szCs w:val="18"/>
                <w:u w:val="single"/>
              </w:rPr>
            </w:pPr>
            <w:r w:rsidRPr="009974E0">
              <w:rPr>
                <w:rFonts w:eastAsia="Times New Roman" w:cs="Times New Roman"/>
                <w:sz w:val="20"/>
                <w:szCs w:val="18"/>
              </w:rPr>
              <w:t xml:space="preserve">     </w:t>
            </w:r>
            <w:r w:rsidRPr="009974E0">
              <w:rPr>
                <w:rFonts w:eastAsia="Times New Roman" w:cs="Times New Roman"/>
                <w:sz w:val="20"/>
                <w:szCs w:val="18"/>
                <w:u w:val="single"/>
              </w:rPr>
              <w:t>Mixed Tone</w:t>
            </w:r>
          </w:p>
        </w:tc>
        <w:tc>
          <w:tcPr>
            <w:tcW w:w="1804" w:type="dxa"/>
            <w:gridSpan w:val="4"/>
            <w:tcBorders>
              <w:top w:val="nil"/>
              <w:left w:val="nil"/>
              <w:bottom w:val="nil"/>
              <w:right w:val="nil"/>
            </w:tcBorders>
          </w:tcPr>
          <w:p w14:paraId="7C9C28D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u w:val="single"/>
              </w:rPr>
            </w:pPr>
            <w:r w:rsidRPr="009974E0">
              <w:rPr>
                <w:rFonts w:eastAsia="Times New Roman" w:cs="Times New Roman"/>
                <w:sz w:val="20"/>
                <w:szCs w:val="18"/>
              </w:rPr>
              <w:t xml:space="preserve"> </w:t>
            </w:r>
            <w:r w:rsidRPr="009974E0">
              <w:rPr>
                <w:rFonts w:eastAsia="Times New Roman" w:cs="Times New Roman"/>
                <w:sz w:val="20"/>
                <w:szCs w:val="18"/>
                <w:u w:val="single"/>
              </w:rPr>
              <w:t>Negative Tone</w:t>
            </w:r>
          </w:p>
        </w:tc>
        <w:tc>
          <w:tcPr>
            <w:tcW w:w="1978" w:type="dxa"/>
            <w:gridSpan w:val="5"/>
            <w:tcBorders>
              <w:top w:val="nil"/>
              <w:left w:val="nil"/>
              <w:bottom w:val="nil"/>
              <w:right w:val="nil"/>
            </w:tcBorders>
          </w:tcPr>
          <w:p w14:paraId="0DD77AA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w:t>
            </w:r>
            <w:r w:rsidRPr="009974E0">
              <w:rPr>
                <w:rFonts w:eastAsia="Times New Roman" w:cs="Times New Roman"/>
                <w:sz w:val="20"/>
                <w:szCs w:val="18"/>
                <w:u w:val="single"/>
              </w:rPr>
              <w:t>No Visit Response</w:t>
            </w:r>
          </w:p>
        </w:tc>
      </w:tr>
      <w:tr w:rsidR="005B6F5E" w:rsidRPr="005A0A52" w14:paraId="742B36EA" w14:textId="77777777" w:rsidTr="009974E0">
        <w:trPr>
          <w:gridAfter w:val="1"/>
          <w:wAfter w:w="136" w:type="dxa"/>
        </w:trPr>
        <w:tc>
          <w:tcPr>
            <w:tcW w:w="3510" w:type="dxa"/>
            <w:tcBorders>
              <w:top w:val="nil"/>
              <w:left w:val="nil"/>
              <w:bottom w:val="nil"/>
              <w:right w:val="nil"/>
            </w:tcBorders>
          </w:tcPr>
          <w:p w14:paraId="675C0F74"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1468" w:type="dxa"/>
            <w:gridSpan w:val="2"/>
            <w:tcBorders>
              <w:top w:val="nil"/>
              <w:left w:val="nil"/>
              <w:bottom w:val="nil"/>
              <w:right w:val="nil"/>
            </w:tcBorders>
          </w:tcPr>
          <w:p w14:paraId="51C9C276" w14:textId="77777777" w:rsidR="005B6F5E" w:rsidRPr="009974E0" w:rsidRDefault="005B6F5E" w:rsidP="00BC538E">
            <w:pPr>
              <w:widowControl w:val="0"/>
              <w:tabs>
                <w:tab w:val="decimal" w:pos="345"/>
              </w:tabs>
              <w:autoSpaceDE w:val="0"/>
              <w:autoSpaceDN w:val="0"/>
              <w:adjustRightInd w:val="0"/>
              <w:spacing w:line="240" w:lineRule="auto"/>
              <w:jc w:val="right"/>
              <w:rPr>
                <w:rFonts w:eastAsia="Times New Roman" w:cs="Times New Roman"/>
                <w:sz w:val="20"/>
                <w:szCs w:val="18"/>
              </w:rPr>
            </w:pPr>
          </w:p>
        </w:tc>
        <w:tc>
          <w:tcPr>
            <w:tcW w:w="898" w:type="dxa"/>
            <w:gridSpan w:val="2"/>
            <w:tcBorders>
              <w:top w:val="nil"/>
              <w:left w:val="nil"/>
              <w:bottom w:val="nil"/>
              <w:right w:val="nil"/>
            </w:tcBorders>
          </w:tcPr>
          <w:p w14:paraId="4436033B" w14:textId="77777777" w:rsidR="005B6F5E" w:rsidRPr="009974E0" w:rsidRDefault="005B6F5E" w:rsidP="00BC538E">
            <w:pPr>
              <w:widowControl w:val="0"/>
              <w:autoSpaceDE w:val="0"/>
              <w:autoSpaceDN w:val="0"/>
              <w:adjustRightInd w:val="0"/>
              <w:spacing w:line="240" w:lineRule="auto"/>
              <w:jc w:val="both"/>
              <w:rPr>
                <w:rFonts w:eastAsia="Times New Roman" w:cs="Times New Roman"/>
                <w:sz w:val="20"/>
                <w:szCs w:val="18"/>
              </w:rPr>
            </w:pPr>
          </w:p>
        </w:tc>
        <w:tc>
          <w:tcPr>
            <w:tcW w:w="900" w:type="dxa"/>
            <w:gridSpan w:val="2"/>
            <w:tcBorders>
              <w:top w:val="nil"/>
              <w:left w:val="nil"/>
              <w:bottom w:val="nil"/>
              <w:right w:val="nil"/>
            </w:tcBorders>
          </w:tcPr>
          <w:p w14:paraId="6726CA85" w14:textId="77777777" w:rsidR="005B6F5E" w:rsidRPr="009974E0" w:rsidRDefault="005B6F5E" w:rsidP="00BC538E">
            <w:pPr>
              <w:widowControl w:val="0"/>
              <w:tabs>
                <w:tab w:val="decimal" w:pos="480"/>
              </w:tabs>
              <w:autoSpaceDE w:val="0"/>
              <w:autoSpaceDN w:val="0"/>
              <w:adjustRightInd w:val="0"/>
              <w:spacing w:line="240" w:lineRule="auto"/>
              <w:jc w:val="right"/>
              <w:rPr>
                <w:rFonts w:eastAsia="Times New Roman" w:cs="Times New Roman"/>
                <w:sz w:val="20"/>
                <w:szCs w:val="18"/>
              </w:rPr>
            </w:pPr>
          </w:p>
        </w:tc>
        <w:tc>
          <w:tcPr>
            <w:tcW w:w="904" w:type="dxa"/>
            <w:gridSpan w:val="2"/>
            <w:tcBorders>
              <w:top w:val="nil"/>
              <w:left w:val="nil"/>
              <w:bottom w:val="nil"/>
              <w:right w:val="nil"/>
            </w:tcBorders>
          </w:tcPr>
          <w:p w14:paraId="56343339"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1080" w:type="dxa"/>
            <w:gridSpan w:val="2"/>
            <w:tcBorders>
              <w:top w:val="nil"/>
              <w:left w:val="nil"/>
              <w:bottom w:val="nil"/>
              <w:right w:val="nil"/>
            </w:tcBorders>
          </w:tcPr>
          <w:p w14:paraId="2B9DE28E" w14:textId="77777777" w:rsidR="005B6F5E" w:rsidRPr="009974E0" w:rsidRDefault="005B6F5E" w:rsidP="00BC538E">
            <w:pPr>
              <w:widowControl w:val="0"/>
              <w:tabs>
                <w:tab w:val="decimal" w:pos="195"/>
              </w:tabs>
              <w:autoSpaceDE w:val="0"/>
              <w:autoSpaceDN w:val="0"/>
              <w:adjustRightInd w:val="0"/>
              <w:spacing w:line="240" w:lineRule="auto"/>
              <w:jc w:val="right"/>
              <w:rPr>
                <w:rFonts w:eastAsia="Times New Roman" w:cs="Times New Roman"/>
                <w:sz w:val="20"/>
                <w:szCs w:val="18"/>
              </w:rPr>
            </w:pPr>
          </w:p>
        </w:tc>
        <w:tc>
          <w:tcPr>
            <w:tcW w:w="898" w:type="dxa"/>
            <w:gridSpan w:val="3"/>
            <w:tcBorders>
              <w:top w:val="nil"/>
              <w:left w:val="nil"/>
              <w:bottom w:val="nil"/>
              <w:right w:val="nil"/>
            </w:tcBorders>
          </w:tcPr>
          <w:p w14:paraId="63093B0C"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r>
      <w:tr w:rsidR="005B6F5E" w:rsidRPr="005A0A52" w14:paraId="18D7AAAA" w14:textId="77777777" w:rsidTr="009974E0">
        <w:trPr>
          <w:gridAfter w:val="3"/>
          <w:wAfter w:w="254" w:type="dxa"/>
          <w:trHeight w:val="324"/>
        </w:trPr>
        <w:tc>
          <w:tcPr>
            <w:tcW w:w="3510" w:type="dxa"/>
            <w:tcBorders>
              <w:top w:val="nil"/>
              <w:left w:val="nil"/>
              <w:bottom w:val="nil"/>
              <w:right w:val="nil"/>
            </w:tcBorders>
          </w:tcPr>
          <w:p w14:paraId="38E69D0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Hours of travel between counties</w:t>
            </w:r>
          </w:p>
        </w:tc>
        <w:tc>
          <w:tcPr>
            <w:tcW w:w="1350" w:type="dxa"/>
            <w:tcBorders>
              <w:top w:val="nil"/>
              <w:left w:val="nil"/>
              <w:bottom w:val="nil"/>
              <w:right w:val="nil"/>
            </w:tcBorders>
          </w:tcPr>
          <w:p w14:paraId="0221FBB8"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0.972</w:t>
            </w:r>
          </w:p>
        </w:tc>
        <w:tc>
          <w:tcPr>
            <w:tcW w:w="900" w:type="dxa"/>
            <w:gridSpan w:val="2"/>
            <w:tcBorders>
              <w:top w:val="nil"/>
              <w:left w:val="nil"/>
              <w:bottom w:val="nil"/>
              <w:right w:val="nil"/>
            </w:tcBorders>
          </w:tcPr>
          <w:p w14:paraId="6CC278D7"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(0.146)</w:t>
            </w:r>
          </w:p>
        </w:tc>
        <w:tc>
          <w:tcPr>
            <w:tcW w:w="900" w:type="dxa"/>
            <w:gridSpan w:val="2"/>
            <w:tcBorders>
              <w:top w:val="nil"/>
              <w:left w:val="nil"/>
              <w:bottom w:val="nil"/>
              <w:right w:val="nil"/>
            </w:tcBorders>
          </w:tcPr>
          <w:p w14:paraId="7BA2B662"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0.872</w:t>
            </w:r>
          </w:p>
        </w:tc>
        <w:tc>
          <w:tcPr>
            <w:tcW w:w="900" w:type="dxa"/>
            <w:gridSpan w:val="2"/>
            <w:tcBorders>
              <w:top w:val="nil"/>
              <w:left w:val="nil"/>
              <w:bottom w:val="nil"/>
              <w:right w:val="nil"/>
            </w:tcBorders>
          </w:tcPr>
          <w:p w14:paraId="2C3BBC1F"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(0.159)</w:t>
            </w:r>
          </w:p>
        </w:tc>
        <w:tc>
          <w:tcPr>
            <w:tcW w:w="1080" w:type="dxa"/>
            <w:gridSpan w:val="2"/>
            <w:tcBorders>
              <w:top w:val="nil"/>
              <w:left w:val="nil"/>
              <w:bottom w:val="nil"/>
              <w:right w:val="nil"/>
            </w:tcBorders>
          </w:tcPr>
          <w:p w14:paraId="0AACC81B"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0.889</w:t>
            </w:r>
          </w:p>
        </w:tc>
        <w:tc>
          <w:tcPr>
            <w:tcW w:w="900" w:type="dxa"/>
            <w:gridSpan w:val="2"/>
            <w:tcBorders>
              <w:top w:val="nil"/>
              <w:left w:val="nil"/>
              <w:bottom w:val="nil"/>
              <w:right w:val="nil"/>
            </w:tcBorders>
          </w:tcPr>
          <w:p w14:paraId="21857B4B"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(0.208)</w:t>
            </w:r>
          </w:p>
        </w:tc>
      </w:tr>
      <w:tr w:rsidR="005B6F5E" w:rsidRPr="005A0A52" w14:paraId="5302AE75" w14:textId="77777777" w:rsidTr="009974E0">
        <w:trPr>
          <w:gridAfter w:val="3"/>
          <w:wAfter w:w="254" w:type="dxa"/>
          <w:trHeight w:val="360"/>
        </w:trPr>
        <w:tc>
          <w:tcPr>
            <w:tcW w:w="3510" w:type="dxa"/>
            <w:tcBorders>
              <w:top w:val="nil"/>
              <w:left w:val="nil"/>
              <w:bottom w:val="nil"/>
              <w:right w:val="nil"/>
            </w:tcBorders>
          </w:tcPr>
          <w:p w14:paraId="24BAFB00"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Difficult for Visitors</w:t>
            </w:r>
          </w:p>
        </w:tc>
        <w:tc>
          <w:tcPr>
            <w:tcW w:w="1350" w:type="dxa"/>
            <w:tcBorders>
              <w:top w:val="nil"/>
              <w:left w:val="nil"/>
              <w:bottom w:val="nil"/>
              <w:right w:val="nil"/>
            </w:tcBorders>
          </w:tcPr>
          <w:p w14:paraId="343BEE2A"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2.776</w:t>
            </w:r>
            <w:r w:rsidRPr="009974E0">
              <w:rPr>
                <w:rFonts w:eastAsia="Times New Roman" w:cs="Times New Roman"/>
                <w:sz w:val="20"/>
                <w:szCs w:val="18"/>
                <w:vertAlign w:val="superscript"/>
              </w:rPr>
              <w:t>*</w:t>
            </w:r>
          </w:p>
        </w:tc>
        <w:tc>
          <w:tcPr>
            <w:tcW w:w="900" w:type="dxa"/>
            <w:gridSpan w:val="2"/>
            <w:tcBorders>
              <w:top w:val="nil"/>
              <w:left w:val="nil"/>
              <w:bottom w:val="nil"/>
              <w:right w:val="nil"/>
            </w:tcBorders>
          </w:tcPr>
          <w:p w14:paraId="7A2C9FD0"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(1.169)</w:t>
            </w:r>
          </w:p>
        </w:tc>
        <w:tc>
          <w:tcPr>
            <w:tcW w:w="900" w:type="dxa"/>
            <w:gridSpan w:val="2"/>
            <w:tcBorders>
              <w:top w:val="nil"/>
              <w:left w:val="nil"/>
              <w:bottom w:val="nil"/>
              <w:right w:val="nil"/>
            </w:tcBorders>
          </w:tcPr>
          <w:p w14:paraId="1CFBF79C"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2.231</w:t>
            </w:r>
          </w:p>
        </w:tc>
        <w:tc>
          <w:tcPr>
            <w:tcW w:w="900" w:type="dxa"/>
            <w:gridSpan w:val="2"/>
            <w:tcBorders>
              <w:top w:val="nil"/>
              <w:left w:val="nil"/>
              <w:bottom w:val="nil"/>
              <w:right w:val="nil"/>
            </w:tcBorders>
          </w:tcPr>
          <w:p w14:paraId="0956D7B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(1.072)</w:t>
            </w:r>
          </w:p>
        </w:tc>
        <w:tc>
          <w:tcPr>
            <w:tcW w:w="1080" w:type="dxa"/>
            <w:gridSpan w:val="2"/>
            <w:tcBorders>
              <w:top w:val="nil"/>
              <w:left w:val="nil"/>
              <w:bottom w:val="nil"/>
              <w:right w:val="nil"/>
            </w:tcBorders>
          </w:tcPr>
          <w:p w14:paraId="639D67BB"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10.011</w:t>
            </w:r>
            <w:r w:rsidRPr="009974E0">
              <w:rPr>
                <w:rFonts w:eastAsia="Times New Roman" w:cs="Times New Roman"/>
                <w:sz w:val="20"/>
                <w:szCs w:val="18"/>
                <w:vertAlign w:val="superscript"/>
              </w:rPr>
              <w:t>**</w:t>
            </w:r>
          </w:p>
        </w:tc>
        <w:tc>
          <w:tcPr>
            <w:tcW w:w="900" w:type="dxa"/>
            <w:gridSpan w:val="2"/>
            <w:tcBorders>
              <w:top w:val="nil"/>
              <w:left w:val="nil"/>
              <w:bottom w:val="nil"/>
              <w:right w:val="nil"/>
            </w:tcBorders>
          </w:tcPr>
          <w:p w14:paraId="28A1673F"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(8.123)</w:t>
            </w:r>
          </w:p>
        </w:tc>
      </w:tr>
      <w:tr w:rsidR="005B6F5E" w:rsidRPr="005A0A52" w14:paraId="47B89729" w14:textId="77777777" w:rsidTr="009974E0">
        <w:trPr>
          <w:gridAfter w:val="3"/>
          <w:wAfter w:w="254" w:type="dxa"/>
          <w:trHeight w:val="360"/>
        </w:trPr>
        <w:tc>
          <w:tcPr>
            <w:tcW w:w="3510" w:type="dxa"/>
            <w:tcBorders>
              <w:top w:val="nil"/>
              <w:left w:val="nil"/>
              <w:bottom w:val="nil"/>
              <w:right w:val="nil"/>
            </w:tcBorders>
          </w:tcPr>
          <w:p w14:paraId="28EB9ECA"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Number recent visits</w:t>
            </w:r>
          </w:p>
        </w:tc>
        <w:tc>
          <w:tcPr>
            <w:tcW w:w="1350" w:type="dxa"/>
            <w:tcBorders>
              <w:top w:val="nil"/>
              <w:left w:val="nil"/>
              <w:bottom w:val="nil"/>
              <w:right w:val="nil"/>
            </w:tcBorders>
          </w:tcPr>
          <w:p w14:paraId="72376E84"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0.974</w:t>
            </w:r>
          </w:p>
        </w:tc>
        <w:tc>
          <w:tcPr>
            <w:tcW w:w="900" w:type="dxa"/>
            <w:gridSpan w:val="2"/>
            <w:tcBorders>
              <w:top w:val="nil"/>
              <w:left w:val="nil"/>
              <w:bottom w:val="nil"/>
              <w:right w:val="nil"/>
            </w:tcBorders>
          </w:tcPr>
          <w:p w14:paraId="5397B490"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(0.021)</w:t>
            </w:r>
          </w:p>
        </w:tc>
        <w:tc>
          <w:tcPr>
            <w:tcW w:w="900" w:type="dxa"/>
            <w:gridSpan w:val="2"/>
            <w:tcBorders>
              <w:top w:val="nil"/>
              <w:left w:val="nil"/>
              <w:bottom w:val="nil"/>
              <w:right w:val="nil"/>
            </w:tcBorders>
          </w:tcPr>
          <w:p w14:paraId="7DF6E6D4"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0.929</w:t>
            </w:r>
            <w:r w:rsidRPr="009974E0">
              <w:rPr>
                <w:rFonts w:eastAsia="Times New Roman" w:cs="Times New Roman"/>
                <w:sz w:val="20"/>
                <w:szCs w:val="18"/>
                <w:vertAlign w:val="superscript"/>
              </w:rPr>
              <w:t>*</w:t>
            </w:r>
          </w:p>
        </w:tc>
        <w:tc>
          <w:tcPr>
            <w:tcW w:w="900" w:type="dxa"/>
            <w:gridSpan w:val="2"/>
            <w:tcBorders>
              <w:top w:val="nil"/>
              <w:left w:val="nil"/>
              <w:bottom w:val="nil"/>
              <w:right w:val="nil"/>
            </w:tcBorders>
          </w:tcPr>
          <w:p w14:paraId="04025026"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(0.034)</w:t>
            </w:r>
          </w:p>
        </w:tc>
        <w:tc>
          <w:tcPr>
            <w:tcW w:w="1080" w:type="dxa"/>
            <w:gridSpan w:val="2"/>
            <w:tcBorders>
              <w:top w:val="nil"/>
              <w:left w:val="nil"/>
              <w:bottom w:val="nil"/>
              <w:right w:val="nil"/>
            </w:tcBorders>
          </w:tcPr>
          <w:p w14:paraId="67C98277"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0.829</w:t>
            </w:r>
            <w:r w:rsidRPr="009974E0">
              <w:rPr>
                <w:rFonts w:eastAsia="Times New Roman" w:cs="Times New Roman"/>
                <w:sz w:val="20"/>
                <w:szCs w:val="18"/>
                <w:vertAlign w:val="superscript"/>
              </w:rPr>
              <w:t>*</w:t>
            </w:r>
          </w:p>
        </w:tc>
        <w:tc>
          <w:tcPr>
            <w:tcW w:w="900" w:type="dxa"/>
            <w:gridSpan w:val="2"/>
            <w:tcBorders>
              <w:top w:val="nil"/>
              <w:left w:val="nil"/>
              <w:bottom w:val="nil"/>
              <w:right w:val="nil"/>
            </w:tcBorders>
          </w:tcPr>
          <w:p w14:paraId="389F061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(0.069)</w:t>
            </w:r>
          </w:p>
        </w:tc>
      </w:tr>
      <w:tr w:rsidR="005B6F5E" w:rsidRPr="005A0A52" w14:paraId="36A4EE99" w14:textId="77777777" w:rsidTr="009974E0">
        <w:trPr>
          <w:gridAfter w:val="3"/>
          <w:wAfter w:w="254" w:type="dxa"/>
          <w:trHeight w:val="360"/>
        </w:trPr>
        <w:tc>
          <w:tcPr>
            <w:tcW w:w="3510" w:type="dxa"/>
            <w:tcBorders>
              <w:top w:val="nil"/>
              <w:left w:val="nil"/>
              <w:bottom w:val="nil"/>
              <w:right w:val="nil"/>
            </w:tcBorders>
          </w:tcPr>
          <w:p w14:paraId="0F8BE9B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Number of ‘Prison Family’ nominations</w:t>
            </w:r>
          </w:p>
        </w:tc>
        <w:tc>
          <w:tcPr>
            <w:tcW w:w="1350" w:type="dxa"/>
            <w:tcBorders>
              <w:top w:val="nil"/>
              <w:left w:val="nil"/>
              <w:bottom w:val="nil"/>
              <w:right w:val="nil"/>
            </w:tcBorders>
          </w:tcPr>
          <w:p w14:paraId="0591176D"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0.884</w:t>
            </w:r>
          </w:p>
        </w:tc>
        <w:tc>
          <w:tcPr>
            <w:tcW w:w="900" w:type="dxa"/>
            <w:gridSpan w:val="2"/>
            <w:tcBorders>
              <w:top w:val="nil"/>
              <w:left w:val="nil"/>
              <w:bottom w:val="nil"/>
              <w:right w:val="nil"/>
            </w:tcBorders>
          </w:tcPr>
          <w:p w14:paraId="2A3C6832"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(0.081)</w:t>
            </w:r>
          </w:p>
        </w:tc>
        <w:tc>
          <w:tcPr>
            <w:tcW w:w="900" w:type="dxa"/>
            <w:gridSpan w:val="2"/>
            <w:tcBorders>
              <w:top w:val="nil"/>
              <w:left w:val="nil"/>
              <w:bottom w:val="nil"/>
              <w:right w:val="nil"/>
            </w:tcBorders>
          </w:tcPr>
          <w:p w14:paraId="6A761776"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0.979</w:t>
            </w:r>
          </w:p>
        </w:tc>
        <w:tc>
          <w:tcPr>
            <w:tcW w:w="900" w:type="dxa"/>
            <w:gridSpan w:val="2"/>
            <w:tcBorders>
              <w:top w:val="nil"/>
              <w:left w:val="nil"/>
              <w:bottom w:val="nil"/>
              <w:right w:val="nil"/>
            </w:tcBorders>
          </w:tcPr>
          <w:p w14:paraId="4F6EE6C7"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(0.109)</w:t>
            </w:r>
          </w:p>
        </w:tc>
        <w:tc>
          <w:tcPr>
            <w:tcW w:w="1080" w:type="dxa"/>
            <w:gridSpan w:val="2"/>
            <w:tcBorders>
              <w:top w:val="nil"/>
              <w:left w:val="nil"/>
              <w:bottom w:val="nil"/>
              <w:right w:val="nil"/>
            </w:tcBorders>
          </w:tcPr>
          <w:p w14:paraId="6C98431F"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0.984</w:t>
            </w:r>
          </w:p>
        </w:tc>
        <w:tc>
          <w:tcPr>
            <w:tcW w:w="900" w:type="dxa"/>
            <w:gridSpan w:val="2"/>
            <w:tcBorders>
              <w:top w:val="nil"/>
              <w:left w:val="nil"/>
              <w:bottom w:val="nil"/>
              <w:right w:val="nil"/>
            </w:tcBorders>
          </w:tcPr>
          <w:p w14:paraId="2853EC8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(0.128)</w:t>
            </w:r>
          </w:p>
        </w:tc>
      </w:tr>
      <w:tr w:rsidR="005B6F5E" w:rsidRPr="005A0A52" w14:paraId="135DDC1C" w14:textId="77777777" w:rsidTr="009974E0">
        <w:trPr>
          <w:gridAfter w:val="3"/>
          <w:wAfter w:w="254" w:type="dxa"/>
          <w:trHeight w:val="360"/>
        </w:trPr>
        <w:tc>
          <w:tcPr>
            <w:tcW w:w="3510" w:type="dxa"/>
            <w:tcBorders>
              <w:top w:val="nil"/>
              <w:left w:val="nil"/>
              <w:bottom w:val="nil"/>
              <w:right w:val="nil"/>
            </w:tcBorders>
          </w:tcPr>
          <w:p w14:paraId="70624656"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Respondent age</w:t>
            </w:r>
          </w:p>
        </w:tc>
        <w:tc>
          <w:tcPr>
            <w:tcW w:w="1350" w:type="dxa"/>
            <w:tcBorders>
              <w:top w:val="nil"/>
              <w:left w:val="nil"/>
              <w:bottom w:val="nil"/>
              <w:right w:val="nil"/>
            </w:tcBorders>
          </w:tcPr>
          <w:p w14:paraId="05313A85"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0.989</w:t>
            </w:r>
          </w:p>
        </w:tc>
        <w:tc>
          <w:tcPr>
            <w:tcW w:w="900" w:type="dxa"/>
            <w:gridSpan w:val="2"/>
            <w:tcBorders>
              <w:top w:val="nil"/>
              <w:left w:val="nil"/>
              <w:bottom w:val="nil"/>
              <w:right w:val="nil"/>
            </w:tcBorders>
          </w:tcPr>
          <w:p w14:paraId="4C9EBBBC"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(0.018)</w:t>
            </w:r>
          </w:p>
        </w:tc>
        <w:tc>
          <w:tcPr>
            <w:tcW w:w="900" w:type="dxa"/>
            <w:gridSpan w:val="2"/>
            <w:tcBorders>
              <w:top w:val="nil"/>
              <w:left w:val="nil"/>
              <w:bottom w:val="nil"/>
              <w:right w:val="nil"/>
            </w:tcBorders>
          </w:tcPr>
          <w:p w14:paraId="0094F6B7"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0.984</w:t>
            </w:r>
          </w:p>
        </w:tc>
        <w:tc>
          <w:tcPr>
            <w:tcW w:w="900" w:type="dxa"/>
            <w:gridSpan w:val="2"/>
            <w:tcBorders>
              <w:top w:val="nil"/>
              <w:left w:val="nil"/>
              <w:bottom w:val="nil"/>
              <w:right w:val="nil"/>
            </w:tcBorders>
          </w:tcPr>
          <w:p w14:paraId="6DC96EAB"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(0.022)</w:t>
            </w:r>
          </w:p>
        </w:tc>
        <w:tc>
          <w:tcPr>
            <w:tcW w:w="1080" w:type="dxa"/>
            <w:gridSpan w:val="2"/>
            <w:tcBorders>
              <w:top w:val="nil"/>
              <w:left w:val="nil"/>
              <w:bottom w:val="nil"/>
              <w:right w:val="nil"/>
            </w:tcBorders>
          </w:tcPr>
          <w:p w14:paraId="63A78C0F"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1.021</w:t>
            </w:r>
          </w:p>
        </w:tc>
        <w:tc>
          <w:tcPr>
            <w:tcW w:w="900" w:type="dxa"/>
            <w:gridSpan w:val="2"/>
            <w:tcBorders>
              <w:top w:val="nil"/>
              <w:left w:val="nil"/>
              <w:bottom w:val="nil"/>
              <w:right w:val="nil"/>
            </w:tcBorders>
          </w:tcPr>
          <w:p w14:paraId="2DB4FD1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(0.026)</w:t>
            </w:r>
          </w:p>
        </w:tc>
      </w:tr>
      <w:tr w:rsidR="005B6F5E" w:rsidRPr="005A0A52" w14:paraId="6C5D8524" w14:textId="77777777" w:rsidTr="009974E0">
        <w:trPr>
          <w:gridAfter w:val="3"/>
          <w:wAfter w:w="254" w:type="dxa"/>
          <w:trHeight w:val="360"/>
        </w:trPr>
        <w:tc>
          <w:tcPr>
            <w:tcW w:w="3510" w:type="dxa"/>
            <w:tcBorders>
              <w:top w:val="nil"/>
              <w:left w:val="nil"/>
              <w:bottom w:val="nil"/>
              <w:right w:val="nil"/>
            </w:tcBorders>
          </w:tcPr>
          <w:p w14:paraId="12D1CA9C"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Respondent white</w:t>
            </w:r>
          </w:p>
        </w:tc>
        <w:tc>
          <w:tcPr>
            <w:tcW w:w="1350" w:type="dxa"/>
            <w:tcBorders>
              <w:top w:val="nil"/>
              <w:left w:val="nil"/>
              <w:bottom w:val="nil"/>
              <w:right w:val="nil"/>
            </w:tcBorders>
          </w:tcPr>
          <w:p w14:paraId="15566B23"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1.910</w:t>
            </w:r>
          </w:p>
        </w:tc>
        <w:tc>
          <w:tcPr>
            <w:tcW w:w="900" w:type="dxa"/>
            <w:gridSpan w:val="2"/>
            <w:tcBorders>
              <w:top w:val="nil"/>
              <w:left w:val="nil"/>
              <w:bottom w:val="nil"/>
              <w:right w:val="nil"/>
            </w:tcBorders>
          </w:tcPr>
          <w:p w14:paraId="2F58D47D"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(0.864)</w:t>
            </w:r>
          </w:p>
        </w:tc>
        <w:tc>
          <w:tcPr>
            <w:tcW w:w="900" w:type="dxa"/>
            <w:gridSpan w:val="2"/>
            <w:tcBorders>
              <w:top w:val="nil"/>
              <w:left w:val="nil"/>
              <w:bottom w:val="nil"/>
              <w:right w:val="nil"/>
            </w:tcBorders>
          </w:tcPr>
          <w:p w14:paraId="7DDC90C7"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0.782</w:t>
            </w:r>
          </w:p>
        </w:tc>
        <w:tc>
          <w:tcPr>
            <w:tcW w:w="900" w:type="dxa"/>
            <w:gridSpan w:val="2"/>
            <w:tcBorders>
              <w:top w:val="nil"/>
              <w:left w:val="nil"/>
              <w:bottom w:val="nil"/>
              <w:right w:val="nil"/>
            </w:tcBorders>
          </w:tcPr>
          <w:p w14:paraId="11AB2C8A"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(0.400)</w:t>
            </w:r>
          </w:p>
        </w:tc>
        <w:tc>
          <w:tcPr>
            <w:tcW w:w="1080" w:type="dxa"/>
            <w:gridSpan w:val="2"/>
            <w:tcBorders>
              <w:top w:val="nil"/>
              <w:left w:val="nil"/>
              <w:bottom w:val="nil"/>
              <w:right w:val="nil"/>
            </w:tcBorders>
          </w:tcPr>
          <w:p w14:paraId="6ED8628D"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1.703</w:t>
            </w:r>
          </w:p>
        </w:tc>
        <w:tc>
          <w:tcPr>
            <w:tcW w:w="900" w:type="dxa"/>
            <w:gridSpan w:val="2"/>
            <w:tcBorders>
              <w:top w:val="nil"/>
              <w:left w:val="nil"/>
              <w:bottom w:val="nil"/>
              <w:right w:val="nil"/>
            </w:tcBorders>
          </w:tcPr>
          <w:p w14:paraId="7E49B2CE"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(1.056)</w:t>
            </w:r>
          </w:p>
        </w:tc>
      </w:tr>
      <w:tr w:rsidR="005B6F5E" w:rsidRPr="005A0A52" w14:paraId="2E3E234E" w14:textId="77777777" w:rsidTr="009974E0">
        <w:trPr>
          <w:gridAfter w:val="3"/>
          <w:wAfter w:w="254" w:type="dxa"/>
          <w:trHeight w:val="360"/>
        </w:trPr>
        <w:tc>
          <w:tcPr>
            <w:tcW w:w="3510" w:type="dxa"/>
            <w:tcBorders>
              <w:top w:val="nil"/>
              <w:left w:val="nil"/>
              <w:bottom w:val="nil"/>
              <w:right w:val="nil"/>
            </w:tcBorders>
          </w:tcPr>
          <w:p w14:paraId="5AC99D1A"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Controlling OGS</w:t>
            </w:r>
          </w:p>
        </w:tc>
        <w:tc>
          <w:tcPr>
            <w:tcW w:w="1350" w:type="dxa"/>
            <w:tcBorders>
              <w:top w:val="nil"/>
              <w:left w:val="nil"/>
              <w:bottom w:val="nil"/>
              <w:right w:val="nil"/>
            </w:tcBorders>
          </w:tcPr>
          <w:p w14:paraId="039CE55C"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0.966</w:t>
            </w:r>
          </w:p>
        </w:tc>
        <w:tc>
          <w:tcPr>
            <w:tcW w:w="900" w:type="dxa"/>
            <w:gridSpan w:val="2"/>
            <w:tcBorders>
              <w:top w:val="nil"/>
              <w:left w:val="nil"/>
              <w:bottom w:val="nil"/>
              <w:right w:val="nil"/>
            </w:tcBorders>
          </w:tcPr>
          <w:p w14:paraId="3517B804"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(0.065)</w:t>
            </w:r>
          </w:p>
        </w:tc>
        <w:tc>
          <w:tcPr>
            <w:tcW w:w="900" w:type="dxa"/>
            <w:gridSpan w:val="2"/>
            <w:tcBorders>
              <w:top w:val="nil"/>
              <w:left w:val="nil"/>
              <w:bottom w:val="nil"/>
              <w:right w:val="nil"/>
            </w:tcBorders>
          </w:tcPr>
          <w:p w14:paraId="69FB30C4"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0.979</w:t>
            </w:r>
          </w:p>
        </w:tc>
        <w:tc>
          <w:tcPr>
            <w:tcW w:w="900" w:type="dxa"/>
            <w:gridSpan w:val="2"/>
            <w:tcBorders>
              <w:top w:val="nil"/>
              <w:left w:val="nil"/>
              <w:bottom w:val="nil"/>
              <w:right w:val="nil"/>
            </w:tcBorders>
          </w:tcPr>
          <w:p w14:paraId="648ABBB3"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(0.077)</w:t>
            </w:r>
          </w:p>
        </w:tc>
        <w:tc>
          <w:tcPr>
            <w:tcW w:w="1080" w:type="dxa"/>
            <w:gridSpan w:val="2"/>
            <w:tcBorders>
              <w:top w:val="nil"/>
              <w:left w:val="nil"/>
              <w:bottom w:val="nil"/>
              <w:right w:val="nil"/>
            </w:tcBorders>
          </w:tcPr>
          <w:p w14:paraId="394F9C77"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1.085</w:t>
            </w:r>
          </w:p>
        </w:tc>
        <w:tc>
          <w:tcPr>
            <w:tcW w:w="900" w:type="dxa"/>
            <w:gridSpan w:val="2"/>
            <w:tcBorders>
              <w:top w:val="nil"/>
              <w:left w:val="nil"/>
              <w:bottom w:val="nil"/>
              <w:right w:val="nil"/>
            </w:tcBorders>
          </w:tcPr>
          <w:p w14:paraId="3E326449"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(0.103)</w:t>
            </w:r>
          </w:p>
        </w:tc>
      </w:tr>
      <w:tr w:rsidR="005B6F5E" w:rsidRPr="005A0A52" w14:paraId="69F50B37" w14:textId="77777777" w:rsidTr="009974E0">
        <w:trPr>
          <w:gridAfter w:val="3"/>
          <w:wAfter w:w="254" w:type="dxa"/>
          <w:trHeight w:val="360"/>
        </w:trPr>
        <w:tc>
          <w:tcPr>
            <w:tcW w:w="3510" w:type="dxa"/>
            <w:tcBorders>
              <w:top w:val="nil"/>
              <w:left w:val="nil"/>
              <w:bottom w:val="nil"/>
              <w:right w:val="nil"/>
            </w:tcBorders>
          </w:tcPr>
          <w:p w14:paraId="20DD388F"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Serving life sentence</w:t>
            </w:r>
          </w:p>
        </w:tc>
        <w:tc>
          <w:tcPr>
            <w:tcW w:w="1350" w:type="dxa"/>
            <w:tcBorders>
              <w:top w:val="nil"/>
              <w:left w:val="nil"/>
              <w:bottom w:val="nil"/>
              <w:right w:val="nil"/>
            </w:tcBorders>
          </w:tcPr>
          <w:p w14:paraId="61CF9BE4"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0.232</w:t>
            </w:r>
          </w:p>
        </w:tc>
        <w:tc>
          <w:tcPr>
            <w:tcW w:w="900" w:type="dxa"/>
            <w:gridSpan w:val="2"/>
            <w:tcBorders>
              <w:top w:val="nil"/>
              <w:left w:val="nil"/>
              <w:bottom w:val="nil"/>
              <w:right w:val="nil"/>
            </w:tcBorders>
          </w:tcPr>
          <w:p w14:paraId="749C60C7"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(0.198)</w:t>
            </w:r>
          </w:p>
        </w:tc>
        <w:tc>
          <w:tcPr>
            <w:tcW w:w="900" w:type="dxa"/>
            <w:gridSpan w:val="2"/>
            <w:tcBorders>
              <w:top w:val="nil"/>
              <w:left w:val="nil"/>
              <w:bottom w:val="nil"/>
              <w:right w:val="nil"/>
            </w:tcBorders>
          </w:tcPr>
          <w:p w14:paraId="2E39A22A"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1.262</w:t>
            </w:r>
          </w:p>
        </w:tc>
        <w:tc>
          <w:tcPr>
            <w:tcW w:w="900" w:type="dxa"/>
            <w:gridSpan w:val="2"/>
            <w:tcBorders>
              <w:top w:val="nil"/>
              <w:left w:val="nil"/>
              <w:bottom w:val="nil"/>
              <w:right w:val="nil"/>
            </w:tcBorders>
          </w:tcPr>
          <w:p w14:paraId="740EE013"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(1.277)</w:t>
            </w:r>
          </w:p>
        </w:tc>
        <w:tc>
          <w:tcPr>
            <w:tcW w:w="1080" w:type="dxa"/>
            <w:gridSpan w:val="2"/>
            <w:tcBorders>
              <w:top w:val="nil"/>
              <w:left w:val="nil"/>
              <w:bottom w:val="nil"/>
              <w:right w:val="nil"/>
            </w:tcBorders>
          </w:tcPr>
          <w:p w14:paraId="79B7294B"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0.227</w:t>
            </w:r>
          </w:p>
        </w:tc>
        <w:tc>
          <w:tcPr>
            <w:tcW w:w="900" w:type="dxa"/>
            <w:gridSpan w:val="2"/>
            <w:tcBorders>
              <w:top w:val="nil"/>
              <w:left w:val="nil"/>
              <w:bottom w:val="nil"/>
              <w:right w:val="nil"/>
            </w:tcBorders>
          </w:tcPr>
          <w:p w14:paraId="02B80DC6"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(0.352)</w:t>
            </w:r>
          </w:p>
        </w:tc>
      </w:tr>
      <w:tr w:rsidR="005B6F5E" w:rsidRPr="005A0A52" w14:paraId="3A39BAB9" w14:textId="77777777" w:rsidTr="009974E0">
        <w:trPr>
          <w:gridAfter w:val="3"/>
          <w:wAfter w:w="254" w:type="dxa"/>
          <w:trHeight w:val="360"/>
        </w:trPr>
        <w:tc>
          <w:tcPr>
            <w:tcW w:w="3510" w:type="dxa"/>
            <w:tcBorders>
              <w:top w:val="nil"/>
              <w:left w:val="nil"/>
              <w:bottom w:val="nil"/>
              <w:right w:val="nil"/>
            </w:tcBorders>
          </w:tcPr>
          <w:p w14:paraId="78BC3637"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Years spent in PADOC</w:t>
            </w:r>
          </w:p>
        </w:tc>
        <w:tc>
          <w:tcPr>
            <w:tcW w:w="1350" w:type="dxa"/>
            <w:tcBorders>
              <w:top w:val="nil"/>
              <w:left w:val="nil"/>
              <w:bottom w:val="nil"/>
              <w:right w:val="nil"/>
            </w:tcBorders>
          </w:tcPr>
          <w:p w14:paraId="6778C8C6"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1.032</w:t>
            </w:r>
          </w:p>
        </w:tc>
        <w:tc>
          <w:tcPr>
            <w:tcW w:w="900" w:type="dxa"/>
            <w:gridSpan w:val="2"/>
            <w:tcBorders>
              <w:top w:val="nil"/>
              <w:left w:val="nil"/>
              <w:bottom w:val="nil"/>
              <w:right w:val="nil"/>
            </w:tcBorders>
          </w:tcPr>
          <w:p w14:paraId="1FBB4A3E"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(0.036)</w:t>
            </w:r>
          </w:p>
        </w:tc>
        <w:tc>
          <w:tcPr>
            <w:tcW w:w="900" w:type="dxa"/>
            <w:gridSpan w:val="2"/>
            <w:tcBorders>
              <w:top w:val="nil"/>
              <w:left w:val="nil"/>
              <w:bottom w:val="nil"/>
              <w:right w:val="nil"/>
            </w:tcBorders>
          </w:tcPr>
          <w:p w14:paraId="6F1BFF18"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0.963</w:t>
            </w:r>
          </w:p>
        </w:tc>
        <w:tc>
          <w:tcPr>
            <w:tcW w:w="900" w:type="dxa"/>
            <w:gridSpan w:val="2"/>
            <w:tcBorders>
              <w:top w:val="nil"/>
              <w:left w:val="nil"/>
              <w:bottom w:val="nil"/>
              <w:right w:val="nil"/>
            </w:tcBorders>
          </w:tcPr>
          <w:p w14:paraId="20161C0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(0.047)</w:t>
            </w:r>
          </w:p>
        </w:tc>
        <w:tc>
          <w:tcPr>
            <w:tcW w:w="1080" w:type="dxa"/>
            <w:gridSpan w:val="2"/>
            <w:tcBorders>
              <w:top w:val="nil"/>
              <w:left w:val="nil"/>
              <w:bottom w:val="nil"/>
              <w:right w:val="nil"/>
            </w:tcBorders>
          </w:tcPr>
          <w:p w14:paraId="0B3D1594"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0.948</w:t>
            </w:r>
          </w:p>
        </w:tc>
        <w:tc>
          <w:tcPr>
            <w:tcW w:w="900" w:type="dxa"/>
            <w:gridSpan w:val="2"/>
            <w:tcBorders>
              <w:top w:val="nil"/>
              <w:left w:val="nil"/>
              <w:bottom w:val="nil"/>
              <w:right w:val="nil"/>
            </w:tcBorders>
          </w:tcPr>
          <w:p w14:paraId="41717F9E"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(0.062)</w:t>
            </w:r>
          </w:p>
        </w:tc>
      </w:tr>
      <w:tr w:rsidR="005B6F5E" w:rsidRPr="005A0A52" w14:paraId="35FCC850" w14:textId="77777777" w:rsidTr="009974E0">
        <w:trPr>
          <w:gridAfter w:val="3"/>
          <w:wAfter w:w="254" w:type="dxa"/>
        </w:trPr>
        <w:tc>
          <w:tcPr>
            <w:tcW w:w="3510" w:type="dxa"/>
            <w:tcBorders>
              <w:top w:val="nil"/>
              <w:left w:val="nil"/>
              <w:bottom w:val="nil"/>
              <w:right w:val="nil"/>
            </w:tcBorders>
          </w:tcPr>
          <w:p w14:paraId="53BD1B6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Unit of Residence (ref. Unit 1) </w:t>
            </w:r>
          </w:p>
        </w:tc>
        <w:tc>
          <w:tcPr>
            <w:tcW w:w="1350" w:type="dxa"/>
            <w:tcBorders>
              <w:top w:val="nil"/>
              <w:left w:val="nil"/>
              <w:bottom w:val="nil"/>
              <w:right w:val="nil"/>
            </w:tcBorders>
          </w:tcPr>
          <w:p w14:paraId="18D03FB8"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p>
        </w:tc>
        <w:tc>
          <w:tcPr>
            <w:tcW w:w="900" w:type="dxa"/>
            <w:gridSpan w:val="2"/>
            <w:tcBorders>
              <w:top w:val="nil"/>
              <w:left w:val="nil"/>
              <w:bottom w:val="nil"/>
              <w:right w:val="nil"/>
            </w:tcBorders>
          </w:tcPr>
          <w:p w14:paraId="08292367"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p>
        </w:tc>
        <w:tc>
          <w:tcPr>
            <w:tcW w:w="900" w:type="dxa"/>
            <w:gridSpan w:val="2"/>
            <w:tcBorders>
              <w:top w:val="nil"/>
              <w:left w:val="nil"/>
              <w:bottom w:val="nil"/>
              <w:right w:val="nil"/>
            </w:tcBorders>
          </w:tcPr>
          <w:p w14:paraId="2D3FEAAE"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p>
        </w:tc>
        <w:tc>
          <w:tcPr>
            <w:tcW w:w="900" w:type="dxa"/>
            <w:gridSpan w:val="2"/>
            <w:tcBorders>
              <w:top w:val="nil"/>
              <w:left w:val="nil"/>
              <w:bottom w:val="nil"/>
              <w:right w:val="nil"/>
            </w:tcBorders>
          </w:tcPr>
          <w:p w14:paraId="081ADAE6"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1080" w:type="dxa"/>
            <w:gridSpan w:val="2"/>
            <w:tcBorders>
              <w:top w:val="nil"/>
              <w:left w:val="nil"/>
              <w:bottom w:val="nil"/>
              <w:right w:val="nil"/>
            </w:tcBorders>
          </w:tcPr>
          <w:p w14:paraId="094C5A30"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p>
        </w:tc>
        <w:tc>
          <w:tcPr>
            <w:tcW w:w="900" w:type="dxa"/>
            <w:gridSpan w:val="2"/>
            <w:tcBorders>
              <w:top w:val="nil"/>
              <w:left w:val="nil"/>
              <w:bottom w:val="nil"/>
              <w:right w:val="nil"/>
            </w:tcBorders>
          </w:tcPr>
          <w:p w14:paraId="512C927E"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r>
      <w:tr w:rsidR="005B6F5E" w:rsidRPr="005A0A52" w14:paraId="4C64D4E2" w14:textId="77777777" w:rsidTr="009974E0">
        <w:trPr>
          <w:gridAfter w:val="3"/>
          <w:wAfter w:w="254" w:type="dxa"/>
        </w:trPr>
        <w:tc>
          <w:tcPr>
            <w:tcW w:w="3510" w:type="dxa"/>
            <w:tcBorders>
              <w:top w:val="nil"/>
              <w:left w:val="nil"/>
              <w:bottom w:val="nil"/>
              <w:right w:val="nil"/>
            </w:tcBorders>
          </w:tcPr>
          <w:p w14:paraId="3D9D650D"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Unit 2</w:t>
            </w:r>
          </w:p>
        </w:tc>
        <w:tc>
          <w:tcPr>
            <w:tcW w:w="1350" w:type="dxa"/>
            <w:tcBorders>
              <w:top w:val="nil"/>
              <w:left w:val="nil"/>
              <w:bottom w:val="nil"/>
              <w:right w:val="nil"/>
            </w:tcBorders>
          </w:tcPr>
          <w:p w14:paraId="5A3A8235"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2.491</w:t>
            </w:r>
          </w:p>
        </w:tc>
        <w:tc>
          <w:tcPr>
            <w:tcW w:w="900" w:type="dxa"/>
            <w:gridSpan w:val="2"/>
            <w:tcBorders>
              <w:top w:val="nil"/>
              <w:left w:val="nil"/>
              <w:bottom w:val="nil"/>
              <w:right w:val="nil"/>
            </w:tcBorders>
          </w:tcPr>
          <w:p w14:paraId="11A206F8"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(1.386)</w:t>
            </w:r>
          </w:p>
        </w:tc>
        <w:tc>
          <w:tcPr>
            <w:tcW w:w="900" w:type="dxa"/>
            <w:gridSpan w:val="2"/>
            <w:tcBorders>
              <w:top w:val="nil"/>
              <w:left w:val="nil"/>
              <w:bottom w:val="nil"/>
              <w:right w:val="nil"/>
            </w:tcBorders>
          </w:tcPr>
          <w:p w14:paraId="0FF21829"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1.525</w:t>
            </w:r>
          </w:p>
        </w:tc>
        <w:tc>
          <w:tcPr>
            <w:tcW w:w="900" w:type="dxa"/>
            <w:gridSpan w:val="2"/>
            <w:tcBorders>
              <w:top w:val="nil"/>
              <w:left w:val="nil"/>
              <w:bottom w:val="nil"/>
              <w:right w:val="nil"/>
            </w:tcBorders>
          </w:tcPr>
          <w:p w14:paraId="55959BFC"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(1.007)</w:t>
            </w:r>
          </w:p>
        </w:tc>
        <w:tc>
          <w:tcPr>
            <w:tcW w:w="1080" w:type="dxa"/>
            <w:gridSpan w:val="2"/>
            <w:tcBorders>
              <w:top w:val="nil"/>
              <w:left w:val="nil"/>
              <w:bottom w:val="nil"/>
              <w:right w:val="nil"/>
            </w:tcBorders>
          </w:tcPr>
          <w:p w14:paraId="678DEA23"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3.937</w:t>
            </w:r>
          </w:p>
        </w:tc>
        <w:tc>
          <w:tcPr>
            <w:tcW w:w="900" w:type="dxa"/>
            <w:gridSpan w:val="2"/>
            <w:tcBorders>
              <w:top w:val="nil"/>
              <w:left w:val="nil"/>
              <w:bottom w:val="nil"/>
              <w:right w:val="nil"/>
            </w:tcBorders>
          </w:tcPr>
          <w:p w14:paraId="4A5C2784"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(3.311)</w:t>
            </w:r>
          </w:p>
        </w:tc>
      </w:tr>
      <w:tr w:rsidR="005B6F5E" w:rsidRPr="005A0A52" w14:paraId="14FECA43" w14:textId="77777777" w:rsidTr="009974E0">
        <w:trPr>
          <w:gridAfter w:val="3"/>
          <w:wAfter w:w="254" w:type="dxa"/>
          <w:trHeight w:val="351"/>
        </w:trPr>
        <w:tc>
          <w:tcPr>
            <w:tcW w:w="3510" w:type="dxa"/>
            <w:tcBorders>
              <w:top w:val="nil"/>
              <w:left w:val="nil"/>
              <w:bottom w:val="nil"/>
              <w:right w:val="nil"/>
            </w:tcBorders>
          </w:tcPr>
          <w:p w14:paraId="5347CB73"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Unit 3</w:t>
            </w:r>
          </w:p>
        </w:tc>
        <w:tc>
          <w:tcPr>
            <w:tcW w:w="1350" w:type="dxa"/>
            <w:tcBorders>
              <w:top w:val="nil"/>
              <w:left w:val="nil"/>
              <w:bottom w:val="nil"/>
              <w:right w:val="nil"/>
            </w:tcBorders>
          </w:tcPr>
          <w:p w14:paraId="0454E375"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1.021</w:t>
            </w:r>
          </w:p>
        </w:tc>
        <w:tc>
          <w:tcPr>
            <w:tcW w:w="900" w:type="dxa"/>
            <w:gridSpan w:val="2"/>
            <w:tcBorders>
              <w:top w:val="nil"/>
              <w:left w:val="nil"/>
              <w:bottom w:val="nil"/>
              <w:right w:val="nil"/>
            </w:tcBorders>
          </w:tcPr>
          <w:p w14:paraId="47A6A977"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(0.577)</w:t>
            </w:r>
          </w:p>
        </w:tc>
        <w:tc>
          <w:tcPr>
            <w:tcW w:w="900" w:type="dxa"/>
            <w:gridSpan w:val="2"/>
            <w:tcBorders>
              <w:top w:val="nil"/>
              <w:left w:val="nil"/>
              <w:bottom w:val="nil"/>
              <w:right w:val="nil"/>
            </w:tcBorders>
          </w:tcPr>
          <w:p w14:paraId="5FC00947"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0.743</w:t>
            </w:r>
          </w:p>
        </w:tc>
        <w:tc>
          <w:tcPr>
            <w:tcW w:w="900" w:type="dxa"/>
            <w:gridSpan w:val="2"/>
            <w:tcBorders>
              <w:top w:val="nil"/>
              <w:left w:val="nil"/>
              <w:bottom w:val="nil"/>
              <w:right w:val="nil"/>
            </w:tcBorders>
          </w:tcPr>
          <w:p w14:paraId="6530DAD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(0.512)</w:t>
            </w:r>
          </w:p>
        </w:tc>
        <w:tc>
          <w:tcPr>
            <w:tcW w:w="1080" w:type="dxa"/>
            <w:gridSpan w:val="2"/>
            <w:tcBorders>
              <w:top w:val="nil"/>
              <w:left w:val="nil"/>
              <w:bottom w:val="nil"/>
              <w:right w:val="nil"/>
            </w:tcBorders>
          </w:tcPr>
          <w:p w14:paraId="1E4808C1"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2.560</w:t>
            </w:r>
          </w:p>
        </w:tc>
        <w:tc>
          <w:tcPr>
            <w:tcW w:w="900" w:type="dxa"/>
            <w:gridSpan w:val="2"/>
            <w:tcBorders>
              <w:top w:val="nil"/>
              <w:left w:val="nil"/>
              <w:bottom w:val="nil"/>
              <w:right w:val="nil"/>
            </w:tcBorders>
          </w:tcPr>
          <w:p w14:paraId="4C8492C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(2.253)</w:t>
            </w:r>
          </w:p>
        </w:tc>
      </w:tr>
      <w:tr w:rsidR="005B6F5E" w:rsidRPr="005A0A52" w14:paraId="3E01343E" w14:textId="77777777" w:rsidTr="009974E0">
        <w:trPr>
          <w:gridAfter w:val="3"/>
          <w:wAfter w:w="254" w:type="dxa"/>
        </w:trPr>
        <w:tc>
          <w:tcPr>
            <w:tcW w:w="3510" w:type="dxa"/>
            <w:tcBorders>
              <w:top w:val="nil"/>
              <w:left w:val="nil"/>
              <w:bottom w:val="nil"/>
              <w:right w:val="nil"/>
            </w:tcBorders>
          </w:tcPr>
          <w:p w14:paraId="0DA21F2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bookmarkStart w:id="0" w:name="_Hlk62559046"/>
            <w:r w:rsidRPr="009974E0">
              <w:rPr>
                <w:rFonts w:eastAsia="Times New Roman" w:cs="Times New Roman"/>
                <w:sz w:val="20"/>
                <w:szCs w:val="18"/>
              </w:rPr>
              <w:t>Controlling Offence Type (ref. Violent)</w:t>
            </w:r>
          </w:p>
        </w:tc>
        <w:tc>
          <w:tcPr>
            <w:tcW w:w="1350" w:type="dxa"/>
            <w:tcBorders>
              <w:top w:val="nil"/>
              <w:left w:val="nil"/>
              <w:bottom w:val="nil"/>
              <w:right w:val="nil"/>
            </w:tcBorders>
          </w:tcPr>
          <w:p w14:paraId="1F9187C4"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p>
        </w:tc>
        <w:tc>
          <w:tcPr>
            <w:tcW w:w="900" w:type="dxa"/>
            <w:gridSpan w:val="2"/>
            <w:tcBorders>
              <w:top w:val="nil"/>
              <w:left w:val="nil"/>
              <w:bottom w:val="nil"/>
              <w:right w:val="nil"/>
            </w:tcBorders>
          </w:tcPr>
          <w:p w14:paraId="2D121BF5"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p>
        </w:tc>
        <w:tc>
          <w:tcPr>
            <w:tcW w:w="900" w:type="dxa"/>
            <w:gridSpan w:val="2"/>
            <w:tcBorders>
              <w:top w:val="nil"/>
              <w:left w:val="nil"/>
              <w:bottom w:val="nil"/>
              <w:right w:val="nil"/>
            </w:tcBorders>
          </w:tcPr>
          <w:p w14:paraId="2AC750DC"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p>
        </w:tc>
        <w:tc>
          <w:tcPr>
            <w:tcW w:w="900" w:type="dxa"/>
            <w:gridSpan w:val="2"/>
            <w:tcBorders>
              <w:top w:val="nil"/>
              <w:left w:val="nil"/>
              <w:bottom w:val="nil"/>
              <w:right w:val="nil"/>
            </w:tcBorders>
          </w:tcPr>
          <w:p w14:paraId="3B75CD0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1080" w:type="dxa"/>
            <w:gridSpan w:val="2"/>
            <w:tcBorders>
              <w:top w:val="nil"/>
              <w:left w:val="nil"/>
              <w:bottom w:val="nil"/>
              <w:right w:val="nil"/>
            </w:tcBorders>
          </w:tcPr>
          <w:p w14:paraId="31468B56"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p>
        </w:tc>
        <w:tc>
          <w:tcPr>
            <w:tcW w:w="900" w:type="dxa"/>
            <w:gridSpan w:val="2"/>
            <w:tcBorders>
              <w:top w:val="nil"/>
              <w:left w:val="nil"/>
              <w:bottom w:val="nil"/>
              <w:right w:val="nil"/>
            </w:tcBorders>
          </w:tcPr>
          <w:p w14:paraId="7A5C3243"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r>
      <w:tr w:rsidR="005B6F5E" w:rsidRPr="005A0A52" w14:paraId="7783A5DE" w14:textId="77777777" w:rsidTr="009974E0">
        <w:trPr>
          <w:gridAfter w:val="3"/>
          <w:wAfter w:w="254" w:type="dxa"/>
        </w:trPr>
        <w:tc>
          <w:tcPr>
            <w:tcW w:w="3510" w:type="dxa"/>
            <w:tcBorders>
              <w:top w:val="nil"/>
              <w:left w:val="nil"/>
              <w:bottom w:val="nil"/>
              <w:right w:val="nil"/>
            </w:tcBorders>
          </w:tcPr>
          <w:p w14:paraId="4F3E0AC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Drug</w:t>
            </w:r>
          </w:p>
        </w:tc>
        <w:tc>
          <w:tcPr>
            <w:tcW w:w="1350" w:type="dxa"/>
            <w:tcBorders>
              <w:top w:val="nil"/>
              <w:left w:val="nil"/>
              <w:bottom w:val="nil"/>
              <w:right w:val="nil"/>
            </w:tcBorders>
          </w:tcPr>
          <w:p w14:paraId="1A2FA552"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1.015</w:t>
            </w:r>
          </w:p>
        </w:tc>
        <w:tc>
          <w:tcPr>
            <w:tcW w:w="900" w:type="dxa"/>
            <w:gridSpan w:val="2"/>
            <w:tcBorders>
              <w:top w:val="nil"/>
              <w:left w:val="nil"/>
              <w:bottom w:val="nil"/>
              <w:right w:val="nil"/>
            </w:tcBorders>
          </w:tcPr>
          <w:p w14:paraId="30E60365"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(0.648)</w:t>
            </w:r>
          </w:p>
        </w:tc>
        <w:tc>
          <w:tcPr>
            <w:tcW w:w="900" w:type="dxa"/>
            <w:gridSpan w:val="2"/>
            <w:tcBorders>
              <w:top w:val="nil"/>
              <w:left w:val="nil"/>
              <w:bottom w:val="nil"/>
              <w:right w:val="nil"/>
            </w:tcBorders>
          </w:tcPr>
          <w:p w14:paraId="031D13E9"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2.732</w:t>
            </w:r>
          </w:p>
        </w:tc>
        <w:tc>
          <w:tcPr>
            <w:tcW w:w="900" w:type="dxa"/>
            <w:gridSpan w:val="2"/>
            <w:tcBorders>
              <w:top w:val="nil"/>
              <w:left w:val="nil"/>
              <w:bottom w:val="nil"/>
              <w:right w:val="nil"/>
            </w:tcBorders>
          </w:tcPr>
          <w:p w14:paraId="0D91796F"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(2.067)</w:t>
            </w:r>
          </w:p>
        </w:tc>
        <w:tc>
          <w:tcPr>
            <w:tcW w:w="1080" w:type="dxa"/>
            <w:gridSpan w:val="2"/>
            <w:tcBorders>
              <w:top w:val="nil"/>
              <w:left w:val="nil"/>
              <w:bottom w:val="nil"/>
              <w:right w:val="nil"/>
            </w:tcBorders>
          </w:tcPr>
          <w:p w14:paraId="20EC5C1D"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1.378</w:t>
            </w:r>
          </w:p>
        </w:tc>
        <w:tc>
          <w:tcPr>
            <w:tcW w:w="900" w:type="dxa"/>
            <w:gridSpan w:val="2"/>
            <w:tcBorders>
              <w:top w:val="nil"/>
              <w:left w:val="nil"/>
              <w:bottom w:val="nil"/>
              <w:right w:val="nil"/>
            </w:tcBorders>
          </w:tcPr>
          <w:p w14:paraId="26968546"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(1.260)</w:t>
            </w:r>
          </w:p>
        </w:tc>
      </w:tr>
      <w:tr w:rsidR="005B6F5E" w:rsidRPr="005A0A52" w14:paraId="009D4557" w14:textId="77777777" w:rsidTr="009974E0">
        <w:trPr>
          <w:gridAfter w:val="3"/>
          <w:wAfter w:w="254" w:type="dxa"/>
        </w:trPr>
        <w:tc>
          <w:tcPr>
            <w:tcW w:w="3510" w:type="dxa"/>
            <w:tcBorders>
              <w:top w:val="nil"/>
              <w:left w:val="nil"/>
              <w:bottom w:val="nil"/>
              <w:right w:val="nil"/>
            </w:tcBorders>
          </w:tcPr>
          <w:p w14:paraId="107F34E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Property</w:t>
            </w:r>
          </w:p>
        </w:tc>
        <w:tc>
          <w:tcPr>
            <w:tcW w:w="1350" w:type="dxa"/>
            <w:tcBorders>
              <w:top w:val="nil"/>
              <w:left w:val="nil"/>
              <w:bottom w:val="nil"/>
              <w:right w:val="nil"/>
            </w:tcBorders>
          </w:tcPr>
          <w:p w14:paraId="7B1C5FB2"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0.759</w:t>
            </w:r>
          </w:p>
        </w:tc>
        <w:tc>
          <w:tcPr>
            <w:tcW w:w="900" w:type="dxa"/>
            <w:gridSpan w:val="2"/>
            <w:tcBorders>
              <w:top w:val="nil"/>
              <w:left w:val="nil"/>
              <w:bottom w:val="nil"/>
              <w:right w:val="nil"/>
            </w:tcBorders>
          </w:tcPr>
          <w:p w14:paraId="0A902634"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(0.511)</w:t>
            </w:r>
          </w:p>
        </w:tc>
        <w:tc>
          <w:tcPr>
            <w:tcW w:w="900" w:type="dxa"/>
            <w:gridSpan w:val="2"/>
            <w:tcBorders>
              <w:top w:val="nil"/>
              <w:left w:val="nil"/>
              <w:bottom w:val="nil"/>
              <w:right w:val="nil"/>
            </w:tcBorders>
          </w:tcPr>
          <w:p w14:paraId="57165A27"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2.067</w:t>
            </w:r>
          </w:p>
        </w:tc>
        <w:tc>
          <w:tcPr>
            <w:tcW w:w="900" w:type="dxa"/>
            <w:gridSpan w:val="2"/>
            <w:tcBorders>
              <w:top w:val="nil"/>
              <w:left w:val="nil"/>
              <w:bottom w:val="nil"/>
              <w:right w:val="nil"/>
            </w:tcBorders>
          </w:tcPr>
          <w:p w14:paraId="0F8D6C07"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(1.682)</w:t>
            </w:r>
          </w:p>
        </w:tc>
        <w:tc>
          <w:tcPr>
            <w:tcW w:w="1080" w:type="dxa"/>
            <w:gridSpan w:val="2"/>
            <w:tcBorders>
              <w:top w:val="nil"/>
              <w:left w:val="nil"/>
              <w:bottom w:val="nil"/>
              <w:right w:val="nil"/>
            </w:tcBorders>
          </w:tcPr>
          <w:p w14:paraId="3F760490"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0.906</w:t>
            </w:r>
          </w:p>
        </w:tc>
        <w:tc>
          <w:tcPr>
            <w:tcW w:w="900" w:type="dxa"/>
            <w:gridSpan w:val="2"/>
            <w:tcBorders>
              <w:top w:val="nil"/>
              <w:left w:val="nil"/>
              <w:bottom w:val="nil"/>
              <w:right w:val="nil"/>
            </w:tcBorders>
          </w:tcPr>
          <w:p w14:paraId="2D99CEBF"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(0.922)</w:t>
            </w:r>
          </w:p>
        </w:tc>
      </w:tr>
      <w:tr w:rsidR="005B6F5E" w:rsidRPr="005A0A52" w14:paraId="615D26EE" w14:textId="77777777" w:rsidTr="009974E0">
        <w:trPr>
          <w:gridAfter w:val="3"/>
          <w:wAfter w:w="254" w:type="dxa"/>
        </w:trPr>
        <w:tc>
          <w:tcPr>
            <w:tcW w:w="3510" w:type="dxa"/>
            <w:tcBorders>
              <w:top w:val="nil"/>
              <w:left w:val="nil"/>
              <w:bottom w:val="nil"/>
              <w:right w:val="nil"/>
            </w:tcBorders>
          </w:tcPr>
          <w:p w14:paraId="2C79C6D1"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Other type</w:t>
            </w:r>
          </w:p>
        </w:tc>
        <w:tc>
          <w:tcPr>
            <w:tcW w:w="1350" w:type="dxa"/>
            <w:tcBorders>
              <w:top w:val="nil"/>
              <w:left w:val="nil"/>
              <w:bottom w:val="nil"/>
              <w:right w:val="nil"/>
            </w:tcBorders>
          </w:tcPr>
          <w:p w14:paraId="56CCF9D8" w14:textId="77777777" w:rsidR="005B6F5E" w:rsidRPr="009974E0" w:rsidRDefault="005B6F5E" w:rsidP="00BC538E">
            <w:pPr>
              <w:widowControl w:val="0"/>
              <w:tabs>
                <w:tab w:val="decimal" w:pos="345"/>
              </w:tabs>
              <w:autoSpaceDE w:val="0"/>
              <w:autoSpaceDN w:val="0"/>
              <w:adjustRightInd w:val="0"/>
              <w:spacing w:line="240" w:lineRule="auto"/>
              <w:ind w:left="606"/>
              <w:rPr>
                <w:rFonts w:eastAsia="Times New Roman" w:cs="Times New Roman"/>
                <w:sz w:val="20"/>
                <w:szCs w:val="18"/>
              </w:rPr>
            </w:pPr>
            <w:r w:rsidRPr="009974E0">
              <w:rPr>
                <w:rFonts w:eastAsia="Times New Roman" w:cs="Times New Roman"/>
                <w:sz w:val="20"/>
                <w:szCs w:val="18"/>
              </w:rPr>
              <w:t>0.323</w:t>
            </w:r>
          </w:p>
        </w:tc>
        <w:tc>
          <w:tcPr>
            <w:tcW w:w="900" w:type="dxa"/>
            <w:gridSpan w:val="2"/>
            <w:tcBorders>
              <w:top w:val="nil"/>
              <w:left w:val="nil"/>
              <w:bottom w:val="nil"/>
              <w:right w:val="nil"/>
            </w:tcBorders>
          </w:tcPr>
          <w:p w14:paraId="1099C879" w14:textId="77777777" w:rsidR="005B6F5E" w:rsidRPr="009974E0" w:rsidRDefault="005B6F5E" w:rsidP="00BC538E">
            <w:pPr>
              <w:widowControl w:val="0"/>
              <w:autoSpaceDE w:val="0"/>
              <w:autoSpaceDN w:val="0"/>
              <w:adjustRightInd w:val="0"/>
              <w:spacing w:line="240" w:lineRule="auto"/>
              <w:ind w:left="-60" w:firstLine="60"/>
              <w:rPr>
                <w:rFonts w:eastAsia="Times New Roman" w:cs="Times New Roman"/>
                <w:sz w:val="20"/>
                <w:szCs w:val="18"/>
              </w:rPr>
            </w:pPr>
            <w:r w:rsidRPr="009974E0">
              <w:rPr>
                <w:rFonts w:eastAsia="Times New Roman" w:cs="Times New Roman"/>
                <w:sz w:val="20"/>
                <w:szCs w:val="18"/>
              </w:rPr>
              <w:t>(0.257)</w:t>
            </w:r>
          </w:p>
        </w:tc>
        <w:tc>
          <w:tcPr>
            <w:tcW w:w="900" w:type="dxa"/>
            <w:gridSpan w:val="2"/>
            <w:tcBorders>
              <w:top w:val="nil"/>
              <w:left w:val="nil"/>
              <w:bottom w:val="nil"/>
              <w:right w:val="nil"/>
            </w:tcBorders>
          </w:tcPr>
          <w:p w14:paraId="76AC8273" w14:textId="77777777" w:rsidR="005B6F5E" w:rsidRPr="009974E0" w:rsidRDefault="005B6F5E" w:rsidP="00BC538E">
            <w:pPr>
              <w:widowControl w:val="0"/>
              <w:tabs>
                <w:tab w:val="decimal" w:pos="480"/>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2.230</w:t>
            </w:r>
          </w:p>
        </w:tc>
        <w:tc>
          <w:tcPr>
            <w:tcW w:w="900" w:type="dxa"/>
            <w:gridSpan w:val="2"/>
            <w:tcBorders>
              <w:top w:val="nil"/>
              <w:left w:val="nil"/>
              <w:bottom w:val="nil"/>
              <w:right w:val="nil"/>
            </w:tcBorders>
          </w:tcPr>
          <w:p w14:paraId="5315745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(1.891)</w:t>
            </w:r>
          </w:p>
        </w:tc>
        <w:tc>
          <w:tcPr>
            <w:tcW w:w="1080" w:type="dxa"/>
            <w:gridSpan w:val="2"/>
            <w:tcBorders>
              <w:top w:val="nil"/>
              <w:left w:val="nil"/>
              <w:bottom w:val="nil"/>
              <w:right w:val="nil"/>
            </w:tcBorders>
          </w:tcPr>
          <w:p w14:paraId="791CB2C6" w14:textId="77777777" w:rsidR="005B6F5E" w:rsidRPr="009974E0" w:rsidRDefault="005B6F5E" w:rsidP="00BC538E">
            <w:pPr>
              <w:widowControl w:val="0"/>
              <w:tabs>
                <w:tab w:val="decimal" w:pos="195"/>
              </w:tabs>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0.760</w:t>
            </w:r>
          </w:p>
        </w:tc>
        <w:tc>
          <w:tcPr>
            <w:tcW w:w="900" w:type="dxa"/>
            <w:gridSpan w:val="2"/>
            <w:tcBorders>
              <w:top w:val="nil"/>
              <w:left w:val="nil"/>
              <w:bottom w:val="nil"/>
              <w:right w:val="nil"/>
            </w:tcBorders>
          </w:tcPr>
          <w:p w14:paraId="5D034439"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(0.811)</w:t>
            </w:r>
          </w:p>
        </w:tc>
      </w:tr>
      <w:bookmarkEnd w:id="0"/>
      <w:tr w:rsidR="005B6F5E" w:rsidRPr="005A0A52" w14:paraId="7C182606" w14:textId="77777777" w:rsidTr="009974E0">
        <w:trPr>
          <w:gridAfter w:val="3"/>
          <w:wAfter w:w="254" w:type="dxa"/>
        </w:trPr>
        <w:tc>
          <w:tcPr>
            <w:tcW w:w="3510" w:type="dxa"/>
            <w:tcBorders>
              <w:top w:val="nil"/>
              <w:left w:val="nil"/>
              <w:bottom w:val="single" w:sz="4" w:space="0" w:color="auto"/>
              <w:right w:val="nil"/>
            </w:tcBorders>
          </w:tcPr>
          <w:p w14:paraId="4DAB6BB3"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1350" w:type="dxa"/>
            <w:tcBorders>
              <w:top w:val="nil"/>
              <w:left w:val="nil"/>
              <w:bottom w:val="single" w:sz="4" w:space="0" w:color="auto"/>
              <w:right w:val="nil"/>
            </w:tcBorders>
          </w:tcPr>
          <w:p w14:paraId="444F99CE" w14:textId="77777777" w:rsidR="005B6F5E" w:rsidRPr="009974E0" w:rsidRDefault="005B6F5E" w:rsidP="00BC538E">
            <w:pPr>
              <w:widowControl w:val="0"/>
              <w:tabs>
                <w:tab w:val="decimal" w:pos="345"/>
              </w:tabs>
              <w:autoSpaceDE w:val="0"/>
              <w:autoSpaceDN w:val="0"/>
              <w:adjustRightInd w:val="0"/>
              <w:spacing w:line="240" w:lineRule="auto"/>
              <w:ind w:left="606"/>
              <w:jc w:val="right"/>
              <w:rPr>
                <w:rFonts w:eastAsia="Times New Roman" w:cs="Times New Roman"/>
                <w:sz w:val="20"/>
                <w:szCs w:val="18"/>
              </w:rPr>
            </w:pPr>
          </w:p>
        </w:tc>
        <w:tc>
          <w:tcPr>
            <w:tcW w:w="900" w:type="dxa"/>
            <w:gridSpan w:val="2"/>
            <w:tcBorders>
              <w:top w:val="nil"/>
              <w:left w:val="nil"/>
              <w:bottom w:val="single" w:sz="4" w:space="0" w:color="auto"/>
              <w:right w:val="nil"/>
            </w:tcBorders>
          </w:tcPr>
          <w:p w14:paraId="3CCC3D44" w14:textId="77777777" w:rsidR="005B6F5E" w:rsidRPr="009974E0" w:rsidRDefault="005B6F5E" w:rsidP="00BC538E">
            <w:pPr>
              <w:widowControl w:val="0"/>
              <w:autoSpaceDE w:val="0"/>
              <w:autoSpaceDN w:val="0"/>
              <w:adjustRightInd w:val="0"/>
              <w:spacing w:line="240" w:lineRule="auto"/>
              <w:ind w:left="-60" w:firstLine="60"/>
              <w:jc w:val="both"/>
              <w:rPr>
                <w:rFonts w:eastAsia="Times New Roman" w:cs="Times New Roman"/>
                <w:sz w:val="20"/>
                <w:szCs w:val="18"/>
              </w:rPr>
            </w:pPr>
          </w:p>
        </w:tc>
        <w:tc>
          <w:tcPr>
            <w:tcW w:w="900" w:type="dxa"/>
            <w:gridSpan w:val="2"/>
            <w:tcBorders>
              <w:top w:val="nil"/>
              <w:left w:val="nil"/>
              <w:bottom w:val="single" w:sz="4" w:space="0" w:color="auto"/>
              <w:right w:val="nil"/>
            </w:tcBorders>
          </w:tcPr>
          <w:p w14:paraId="025733D9" w14:textId="77777777" w:rsidR="005B6F5E" w:rsidRPr="009974E0" w:rsidRDefault="005B6F5E" w:rsidP="00BC538E">
            <w:pPr>
              <w:widowControl w:val="0"/>
              <w:tabs>
                <w:tab w:val="decimal" w:pos="480"/>
              </w:tabs>
              <w:autoSpaceDE w:val="0"/>
              <w:autoSpaceDN w:val="0"/>
              <w:adjustRightInd w:val="0"/>
              <w:spacing w:line="240" w:lineRule="auto"/>
              <w:jc w:val="right"/>
              <w:rPr>
                <w:rFonts w:eastAsia="Times New Roman" w:cs="Times New Roman"/>
                <w:sz w:val="20"/>
                <w:szCs w:val="18"/>
              </w:rPr>
            </w:pPr>
          </w:p>
        </w:tc>
        <w:tc>
          <w:tcPr>
            <w:tcW w:w="900" w:type="dxa"/>
            <w:gridSpan w:val="2"/>
            <w:tcBorders>
              <w:top w:val="nil"/>
              <w:left w:val="nil"/>
              <w:bottom w:val="single" w:sz="4" w:space="0" w:color="auto"/>
              <w:right w:val="nil"/>
            </w:tcBorders>
          </w:tcPr>
          <w:p w14:paraId="666CACA6"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c>
          <w:tcPr>
            <w:tcW w:w="1080" w:type="dxa"/>
            <w:gridSpan w:val="2"/>
            <w:tcBorders>
              <w:top w:val="nil"/>
              <w:left w:val="nil"/>
              <w:bottom w:val="single" w:sz="4" w:space="0" w:color="auto"/>
              <w:right w:val="nil"/>
            </w:tcBorders>
          </w:tcPr>
          <w:p w14:paraId="72284B93" w14:textId="77777777" w:rsidR="005B6F5E" w:rsidRPr="009974E0" w:rsidRDefault="005B6F5E" w:rsidP="00BC538E">
            <w:pPr>
              <w:widowControl w:val="0"/>
              <w:tabs>
                <w:tab w:val="decimal" w:pos="195"/>
              </w:tabs>
              <w:autoSpaceDE w:val="0"/>
              <w:autoSpaceDN w:val="0"/>
              <w:adjustRightInd w:val="0"/>
              <w:spacing w:line="240" w:lineRule="auto"/>
              <w:jc w:val="right"/>
              <w:rPr>
                <w:rFonts w:eastAsia="Times New Roman" w:cs="Times New Roman"/>
                <w:sz w:val="20"/>
                <w:szCs w:val="18"/>
              </w:rPr>
            </w:pPr>
          </w:p>
        </w:tc>
        <w:tc>
          <w:tcPr>
            <w:tcW w:w="900" w:type="dxa"/>
            <w:gridSpan w:val="2"/>
            <w:tcBorders>
              <w:top w:val="nil"/>
              <w:left w:val="nil"/>
              <w:bottom w:val="single" w:sz="4" w:space="0" w:color="auto"/>
              <w:right w:val="nil"/>
            </w:tcBorders>
          </w:tcPr>
          <w:p w14:paraId="0EE82D2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p>
        </w:tc>
      </w:tr>
    </w:tbl>
    <w:p w14:paraId="4577A89E" w14:textId="77777777" w:rsidR="005B6F5E" w:rsidRPr="005A0A52" w:rsidRDefault="005B6F5E" w:rsidP="005B6F5E">
      <w:pPr>
        <w:widowControl w:val="0"/>
        <w:autoSpaceDE w:val="0"/>
        <w:autoSpaceDN w:val="0"/>
        <w:adjustRightInd w:val="0"/>
        <w:spacing w:line="240" w:lineRule="auto"/>
        <w:rPr>
          <w:rFonts w:eastAsia="Times New Roman" w:cs="Times New Roman"/>
          <w:sz w:val="20"/>
          <w:szCs w:val="20"/>
        </w:rPr>
      </w:pPr>
      <w:r w:rsidRPr="005A0A52">
        <w:rPr>
          <w:rFonts w:eastAsia="Times New Roman" w:cs="Times New Roman"/>
          <w:sz w:val="20"/>
          <w:szCs w:val="20"/>
        </w:rPr>
        <w:t>Exponentiated coefficients; Standard errors in parentheses</w:t>
      </w:r>
    </w:p>
    <w:p w14:paraId="1A8C99BB" w14:textId="77777777" w:rsidR="005B6F5E" w:rsidRPr="009974E0" w:rsidRDefault="005B6F5E" w:rsidP="005B6F5E">
      <w:pPr>
        <w:widowControl w:val="0"/>
        <w:autoSpaceDE w:val="0"/>
        <w:autoSpaceDN w:val="0"/>
        <w:adjustRightInd w:val="0"/>
        <w:spacing w:line="240" w:lineRule="auto"/>
        <w:rPr>
          <w:rFonts w:eastAsia="Times New Roman" w:cs="Times New Roman"/>
          <w:sz w:val="22"/>
        </w:rPr>
      </w:pPr>
      <w:r w:rsidRPr="005A0A52">
        <w:rPr>
          <w:rFonts w:eastAsia="Times New Roman" w:cs="Times New Roman"/>
          <w:sz w:val="20"/>
          <w:szCs w:val="20"/>
          <w:vertAlign w:val="superscript"/>
        </w:rPr>
        <w:t>*</w:t>
      </w:r>
      <w:r w:rsidRPr="005A0A52">
        <w:rPr>
          <w:rFonts w:eastAsia="Times New Roman" w:cs="Times New Roman"/>
          <w:sz w:val="20"/>
          <w:szCs w:val="20"/>
        </w:rPr>
        <w:t xml:space="preserve"> </w:t>
      </w:r>
      <w:r w:rsidRPr="005A0A52">
        <w:rPr>
          <w:rFonts w:eastAsia="Times New Roman" w:cs="Times New Roman"/>
          <w:i/>
          <w:iCs/>
          <w:sz w:val="20"/>
          <w:szCs w:val="20"/>
        </w:rPr>
        <w:t>p</w:t>
      </w:r>
      <w:r w:rsidRPr="005A0A52">
        <w:rPr>
          <w:rFonts w:eastAsia="Times New Roman" w:cs="Times New Roman"/>
          <w:sz w:val="20"/>
          <w:szCs w:val="20"/>
        </w:rPr>
        <w:t xml:space="preserve"> &lt; 0.05, </w:t>
      </w:r>
      <w:r w:rsidRPr="005A0A52">
        <w:rPr>
          <w:rFonts w:eastAsia="Times New Roman" w:cs="Times New Roman"/>
          <w:sz w:val="20"/>
          <w:szCs w:val="20"/>
          <w:vertAlign w:val="superscript"/>
        </w:rPr>
        <w:t>**</w:t>
      </w:r>
      <w:r w:rsidRPr="005A0A52">
        <w:rPr>
          <w:rFonts w:eastAsia="Times New Roman" w:cs="Times New Roman"/>
          <w:sz w:val="20"/>
          <w:szCs w:val="20"/>
        </w:rPr>
        <w:t xml:space="preserve"> </w:t>
      </w:r>
      <w:r w:rsidRPr="005A0A52">
        <w:rPr>
          <w:rFonts w:eastAsia="Times New Roman" w:cs="Times New Roman"/>
          <w:i/>
          <w:iCs/>
          <w:sz w:val="20"/>
          <w:szCs w:val="20"/>
        </w:rPr>
        <w:t>p</w:t>
      </w:r>
      <w:r w:rsidRPr="005A0A52">
        <w:rPr>
          <w:rFonts w:eastAsia="Times New Roman" w:cs="Times New Roman"/>
          <w:sz w:val="20"/>
          <w:szCs w:val="20"/>
        </w:rPr>
        <w:t xml:space="preserve"> &lt; 0.01</w:t>
      </w:r>
    </w:p>
    <w:p w14:paraId="47476890" w14:textId="77777777" w:rsidR="0005679B" w:rsidRDefault="0005679B" w:rsidP="005B6F5E">
      <w:pPr>
        <w:keepNext/>
        <w:widowControl w:val="0"/>
        <w:autoSpaceDE w:val="0"/>
        <w:autoSpaceDN w:val="0"/>
        <w:adjustRightInd w:val="0"/>
        <w:spacing w:line="240" w:lineRule="auto"/>
        <w:rPr>
          <w:rFonts w:eastAsia="Times New Roman" w:cs="Times New Roman"/>
          <w:b/>
          <w:bCs/>
        </w:rPr>
      </w:pPr>
    </w:p>
    <w:p w14:paraId="52B153D4" w14:textId="0375E9C9" w:rsidR="005B6F5E" w:rsidRPr="009974E0" w:rsidRDefault="005B6F5E" w:rsidP="005B6F5E">
      <w:pPr>
        <w:keepNext/>
        <w:widowControl w:val="0"/>
        <w:autoSpaceDE w:val="0"/>
        <w:autoSpaceDN w:val="0"/>
        <w:adjustRightInd w:val="0"/>
        <w:spacing w:line="240" w:lineRule="auto"/>
        <w:rPr>
          <w:rFonts w:eastAsia="Times New Roman" w:cs="Times New Roman"/>
          <w:b/>
          <w:bCs/>
          <w:szCs w:val="24"/>
        </w:rPr>
      </w:pPr>
      <w:r w:rsidRPr="009974E0">
        <w:rPr>
          <w:rFonts w:eastAsia="Times New Roman" w:cs="Times New Roman"/>
          <w:b/>
          <w:bCs/>
          <w:szCs w:val="24"/>
        </w:rPr>
        <w:t xml:space="preserve">Table </w:t>
      </w:r>
      <w:r w:rsidR="00303F56">
        <w:rPr>
          <w:rFonts w:eastAsia="Times New Roman" w:cs="Times New Roman"/>
          <w:b/>
          <w:bCs/>
          <w:szCs w:val="24"/>
        </w:rPr>
        <w:t>8</w:t>
      </w:r>
      <w:r w:rsidR="00D55967">
        <w:rPr>
          <w:rFonts w:eastAsia="Times New Roman" w:cs="Times New Roman"/>
          <w:b/>
          <w:bCs/>
          <w:szCs w:val="24"/>
        </w:rPr>
        <w:t>.</w:t>
      </w:r>
      <w:r w:rsidRPr="009974E0">
        <w:rPr>
          <w:rFonts w:eastAsia="Times New Roman" w:cs="Times New Roman"/>
          <w:b/>
          <w:bCs/>
          <w:szCs w:val="24"/>
        </w:rPr>
        <w:t xml:space="preserve"> Odds Ratios of choosing 'Prefer not to be visited' (N=222)</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4158"/>
        <w:gridCol w:w="1512"/>
        <w:gridCol w:w="1206"/>
      </w:tblGrid>
      <w:tr w:rsidR="005B6F5E" w:rsidRPr="005A0A52" w14:paraId="39931194" w14:textId="77777777" w:rsidTr="00BC538E">
        <w:trPr>
          <w:trHeight w:val="350"/>
        </w:trPr>
        <w:tc>
          <w:tcPr>
            <w:tcW w:w="4158" w:type="dxa"/>
          </w:tcPr>
          <w:p w14:paraId="77E9CC1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Hours of travel between counties</w:t>
            </w:r>
          </w:p>
        </w:tc>
        <w:tc>
          <w:tcPr>
            <w:tcW w:w="1512" w:type="dxa"/>
          </w:tcPr>
          <w:p w14:paraId="5F46C97F"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1.333</w:t>
            </w:r>
          </w:p>
        </w:tc>
        <w:tc>
          <w:tcPr>
            <w:tcW w:w="1206" w:type="dxa"/>
          </w:tcPr>
          <w:p w14:paraId="39ACE9D3"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(0.274)</w:t>
            </w:r>
          </w:p>
        </w:tc>
      </w:tr>
      <w:tr w:rsidR="005B6F5E" w:rsidRPr="005A0A52" w14:paraId="732750E4" w14:textId="77777777" w:rsidTr="00BC538E">
        <w:trPr>
          <w:trHeight w:val="360"/>
        </w:trPr>
        <w:tc>
          <w:tcPr>
            <w:tcW w:w="4158" w:type="dxa"/>
          </w:tcPr>
          <w:p w14:paraId="5A16310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Difficult for Visitors</w:t>
            </w:r>
          </w:p>
        </w:tc>
        <w:tc>
          <w:tcPr>
            <w:tcW w:w="1512" w:type="dxa"/>
          </w:tcPr>
          <w:p w14:paraId="2062F631"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1.016</w:t>
            </w:r>
          </w:p>
        </w:tc>
        <w:tc>
          <w:tcPr>
            <w:tcW w:w="1206" w:type="dxa"/>
          </w:tcPr>
          <w:p w14:paraId="0F8B6ED3"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(0.502)</w:t>
            </w:r>
          </w:p>
        </w:tc>
      </w:tr>
      <w:tr w:rsidR="005B6F5E" w:rsidRPr="005A0A52" w14:paraId="13D450B5" w14:textId="77777777" w:rsidTr="00BC538E">
        <w:trPr>
          <w:trHeight w:val="360"/>
        </w:trPr>
        <w:tc>
          <w:tcPr>
            <w:tcW w:w="4158" w:type="dxa"/>
          </w:tcPr>
          <w:p w14:paraId="46573C87"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Number recent visits</w:t>
            </w:r>
          </w:p>
        </w:tc>
        <w:tc>
          <w:tcPr>
            <w:tcW w:w="1512" w:type="dxa"/>
          </w:tcPr>
          <w:p w14:paraId="1BB9F112"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0.844</w:t>
            </w:r>
            <w:r w:rsidRPr="009974E0">
              <w:rPr>
                <w:rFonts w:eastAsia="Times New Roman" w:cs="Times New Roman"/>
                <w:sz w:val="20"/>
                <w:szCs w:val="18"/>
                <w:vertAlign w:val="superscript"/>
              </w:rPr>
              <w:t>*</w:t>
            </w:r>
          </w:p>
        </w:tc>
        <w:tc>
          <w:tcPr>
            <w:tcW w:w="1206" w:type="dxa"/>
          </w:tcPr>
          <w:p w14:paraId="4761F3D7"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(0.067)</w:t>
            </w:r>
          </w:p>
        </w:tc>
      </w:tr>
      <w:tr w:rsidR="005B6F5E" w:rsidRPr="005A0A52" w14:paraId="2E9DBFAE" w14:textId="77777777" w:rsidTr="00BC538E">
        <w:trPr>
          <w:trHeight w:val="324"/>
        </w:trPr>
        <w:tc>
          <w:tcPr>
            <w:tcW w:w="4158" w:type="dxa"/>
          </w:tcPr>
          <w:p w14:paraId="5328DBD0"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Number of ‘Get Along’ nominations</w:t>
            </w:r>
          </w:p>
        </w:tc>
        <w:tc>
          <w:tcPr>
            <w:tcW w:w="1512" w:type="dxa"/>
          </w:tcPr>
          <w:p w14:paraId="61858CE8"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0.919</w:t>
            </w:r>
          </w:p>
        </w:tc>
        <w:tc>
          <w:tcPr>
            <w:tcW w:w="1206" w:type="dxa"/>
          </w:tcPr>
          <w:p w14:paraId="5B7B9205"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(0.112)</w:t>
            </w:r>
          </w:p>
        </w:tc>
      </w:tr>
      <w:tr w:rsidR="005B6F5E" w:rsidRPr="005A0A52" w14:paraId="53DD06BA" w14:textId="77777777" w:rsidTr="00BC538E">
        <w:trPr>
          <w:trHeight w:val="387"/>
        </w:trPr>
        <w:tc>
          <w:tcPr>
            <w:tcW w:w="4158" w:type="dxa"/>
          </w:tcPr>
          <w:p w14:paraId="74CF455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Respondent age</w:t>
            </w:r>
          </w:p>
        </w:tc>
        <w:tc>
          <w:tcPr>
            <w:tcW w:w="1512" w:type="dxa"/>
          </w:tcPr>
          <w:p w14:paraId="4EA3C6E3"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1.017</w:t>
            </w:r>
          </w:p>
        </w:tc>
        <w:tc>
          <w:tcPr>
            <w:tcW w:w="1206" w:type="dxa"/>
          </w:tcPr>
          <w:p w14:paraId="7C11D9CA"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(0.022)</w:t>
            </w:r>
          </w:p>
        </w:tc>
      </w:tr>
      <w:tr w:rsidR="005B6F5E" w:rsidRPr="005A0A52" w14:paraId="65630CC7" w14:textId="77777777" w:rsidTr="00BC538E">
        <w:trPr>
          <w:trHeight w:val="369"/>
        </w:trPr>
        <w:tc>
          <w:tcPr>
            <w:tcW w:w="4158" w:type="dxa"/>
          </w:tcPr>
          <w:p w14:paraId="6158009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Respondent white</w:t>
            </w:r>
          </w:p>
        </w:tc>
        <w:tc>
          <w:tcPr>
            <w:tcW w:w="1512" w:type="dxa"/>
          </w:tcPr>
          <w:p w14:paraId="081B4D5E"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1.032</w:t>
            </w:r>
          </w:p>
        </w:tc>
        <w:tc>
          <w:tcPr>
            <w:tcW w:w="1206" w:type="dxa"/>
          </w:tcPr>
          <w:p w14:paraId="1A73BE95"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(0.516)</w:t>
            </w:r>
          </w:p>
        </w:tc>
      </w:tr>
      <w:tr w:rsidR="005B6F5E" w:rsidRPr="005A0A52" w14:paraId="00A28630" w14:textId="77777777" w:rsidTr="00BC538E">
        <w:trPr>
          <w:trHeight w:val="360"/>
        </w:trPr>
        <w:tc>
          <w:tcPr>
            <w:tcW w:w="4158" w:type="dxa"/>
          </w:tcPr>
          <w:p w14:paraId="23EE2668"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Controlling OGS</w:t>
            </w:r>
          </w:p>
        </w:tc>
        <w:tc>
          <w:tcPr>
            <w:tcW w:w="1512" w:type="dxa"/>
          </w:tcPr>
          <w:p w14:paraId="02441DC8"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1.042</w:t>
            </w:r>
          </w:p>
        </w:tc>
        <w:tc>
          <w:tcPr>
            <w:tcW w:w="1206" w:type="dxa"/>
          </w:tcPr>
          <w:p w14:paraId="0A372567"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(0.081)</w:t>
            </w:r>
          </w:p>
        </w:tc>
      </w:tr>
      <w:tr w:rsidR="005B6F5E" w:rsidRPr="005A0A52" w14:paraId="5E8BE76B" w14:textId="77777777" w:rsidTr="00BC538E">
        <w:trPr>
          <w:trHeight w:val="360"/>
        </w:trPr>
        <w:tc>
          <w:tcPr>
            <w:tcW w:w="4158" w:type="dxa"/>
          </w:tcPr>
          <w:p w14:paraId="76029885"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Serving life sentence</w:t>
            </w:r>
          </w:p>
        </w:tc>
        <w:tc>
          <w:tcPr>
            <w:tcW w:w="1512" w:type="dxa"/>
          </w:tcPr>
          <w:p w14:paraId="5CA226FF"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2.120</w:t>
            </w:r>
          </w:p>
        </w:tc>
        <w:tc>
          <w:tcPr>
            <w:tcW w:w="1206" w:type="dxa"/>
          </w:tcPr>
          <w:p w14:paraId="53BEECB6"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(2.402)</w:t>
            </w:r>
          </w:p>
        </w:tc>
      </w:tr>
      <w:tr w:rsidR="005B6F5E" w:rsidRPr="005A0A52" w14:paraId="7D432C2C" w14:textId="77777777" w:rsidTr="00BC538E">
        <w:trPr>
          <w:trHeight w:val="360"/>
        </w:trPr>
        <w:tc>
          <w:tcPr>
            <w:tcW w:w="4158" w:type="dxa"/>
          </w:tcPr>
          <w:p w14:paraId="3839E3E4"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Years spent in PADOC</w:t>
            </w:r>
          </w:p>
        </w:tc>
        <w:tc>
          <w:tcPr>
            <w:tcW w:w="1512" w:type="dxa"/>
          </w:tcPr>
          <w:p w14:paraId="1FE86A83"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0.934</w:t>
            </w:r>
          </w:p>
        </w:tc>
        <w:tc>
          <w:tcPr>
            <w:tcW w:w="1206" w:type="dxa"/>
          </w:tcPr>
          <w:p w14:paraId="324ADE69"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(0.050)</w:t>
            </w:r>
          </w:p>
        </w:tc>
      </w:tr>
      <w:tr w:rsidR="005B6F5E" w:rsidRPr="005A0A52" w14:paraId="068F9278" w14:textId="77777777" w:rsidTr="00BC538E">
        <w:tc>
          <w:tcPr>
            <w:tcW w:w="4158" w:type="dxa"/>
          </w:tcPr>
          <w:p w14:paraId="15027F82"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Unit of Residence (ref. Unit 1)</w:t>
            </w:r>
          </w:p>
        </w:tc>
        <w:tc>
          <w:tcPr>
            <w:tcW w:w="1512" w:type="dxa"/>
          </w:tcPr>
          <w:p w14:paraId="1BE26AE1"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p>
        </w:tc>
        <w:tc>
          <w:tcPr>
            <w:tcW w:w="1206" w:type="dxa"/>
          </w:tcPr>
          <w:p w14:paraId="582B0C9C"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p>
        </w:tc>
      </w:tr>
      <w:tr w:rsidR="005B6F5E" w:rsidRPr="005A0A52" w14:paraId="350F76B9" w14:textId="77777777" w:rsidTr="00BC538E">
        <w:tc>
          <w:tcPr>
            <w:tcW w:w="4158" w:type="dxa"/>
          </w:tcPr>
          <w:p w14:paraId="4CF2B83F"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Unit 2</w:t>
            </w:r>
          </w:p>
        </w:tc>
        <w:tc>
          <w:tcPr>
            <w:tcW w:w="1512" w:type="dxa"/>
          </w:tcPr>
          <w:p w14:paraId="16931AA3"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1.645</w:t>
            </w:r>
          </w:p>
        </w:tc>
        <w:tc>
          <w:tcPr>
            <w:tcW w:w="1206" w:type="dxa"/>
          </w:tcPr>
          <w:p w14:paraId="24719936"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(1.203)</w:t>
            </w:r>
          </w:p>
        </w:tc>
      </w:tr>
      <w:tr w:rsidR="005B6F5E" w:rsidRPr="005A0A52" w14:paraId="42497BBA" w14:textId="77777777" w:rsidTr="00BC538E">
        <w:trPr>
          <w:trHeight w:val="342"/>
        </w:trPr>
        <w:tc>
          <w:tcPr>
            <w:tcW w:w="4158" w:type="dxa"/>
          </w:tcPr>
          <w:p w14:paraId="2D4A6356"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Unit 3</w:t>
            </w:r>
          </w:p>
        </w:tc>
        <w:tc>
          <w:tcPr>
            <w:tcW w:w="1512" w:type="dxa"/>
          </w:tcPr>
          <w:p w14:paraId="19D1A2B3"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2.747</w:t>
            </w:r>
          </w:p>
        </w:tc>
        <w:tc>
          <w:tcPr>
            <w:tcW w:w="1206" w:type="dxa"/>
          </w:tcPr>
          <w:p w14:paraId="1A5B794F"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(1.990)</w:t>
            </w:r>
          </w:p>
        </w:tc>
      </w:tr>
      <w:tr w:rsidR="005B6F5E" w:rsidRPr="005A0A52" w14:paraId="53B98A76" w14:textId="77777777" w:rsidTr="00BC538E">
        <w:tc>
          <w:tcPr>
            <w:tcW w:w="4158" w:type="dxa"/>
          </w:tcPr>
          <w:p w14:paraId="181C78F9"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Controlling Offence Type (ref. Violent)</w:t>
            </w:r>
          </w:p>
        </w:tc>
        <w:tc>
          <w:tcPr>
            <w:tcW w:w="1512" w:type="dxa"/>
          </w:tcPr>
          <w:p w14:paraId="1759993D"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p>
        </w:tc>
        <w:tc>
          <w:tcPr>
            <w:tcW w:w="1206" w:type="dxa"/>
          </w:tcPr>
          <w:p w14:paraId="63587626"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p>
        </w:tc>
      </w:tr>
      <w:tr w:rsidR="005B6F5E" w:rsidRPr="005A0A52" w14:paraId="6A856D06" w14:textId="77777777" w:rsidTr="00BC538E">
        <w:tc>
          <w:tcPr>
            <w:tcW w:w="4158" w:type="dxa"/>
          </w:tcPr>
          <w:p w14:paraId="1001B7F9"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Drug</w:t>
            </w:r>
          </w:p>
        </w:tc>
        <w:tc>
          <w:tcPr>
            <w:tcW w:w="1512" w:type="dxa"/>
          </w:tcPr>
          <w:p w14:paraId="2CFB7C89"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3.094</w:t>
            </w:r>
          </w:p>
        </w:tc>
        <w:tc>
          <w:tcPr>
            <w:tcW w:w="1206" w:type="dxa"/>
          </w:tcPr>
          <w:p w14:paraId="46E56CA2"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(2.305)</w:t>
            </w:r>
          </w:p>
        </w:tc>
      </w:tr>
      <w:tr w:rsidR="005B6F5E" w:rsidRPr="005A0A52" w14:paraId="6B1798CA" w14:textId="77777777" w:rsidTr="00BC538E">
        <w:tc>
          <w:tcPr>
            <w:tcW w:w="4158" w:type="dxa"/>
          </w:tcPr>
          <w:p w14:paraId="1BB467C8"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Property</w:t>
            </w:r>
          </w:p>
        </w:tc>
        <w:tc>
          <w:tcPr>
            <w:tcW w:w="1512" w:type="dxa"/>
          </w:tcPr>
          <w:p w14:paraId="72FE2D02"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1.897</w:t>
            </w:r>
          </w:p>
        </w:tc>
        <w:tc>
          <w:tcPr>
            <w:tcW w:w="1206" w:type="dxa"/>
          </w:tcPr>
          <w:p w14:paraId="1C119F43"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(1.606)</w:t>
            </w:r>
          </w:p>
        </w:tc>
      </w:tr>
      <w:tr w:rsidR="005B6F5E" w:rsidRPr="005A0A52" w14:paraId="4392B131" w14:textId="77777777" w:rsidTr="00BC538E">
        <w:tc>
          <w:tcPr>
            <w:tcW w:w="4158" w:type="dxa"/>
          </w:tcPr>
          <w:p w14:paraId="034D7A38" w14:textId="77777777" w:rsidR="005B6F5E" w:rsidRPr="009974E0" w:rsidRDefault="005B6F5E" w:rsidP="00BC538E">
            <w:pPr>
              <w:widowControl w:val="0"/>
              <w:autoSpaceDE w:val="0"/>
              <w:autoSpaceDN w:val="0"/>
              <w:adjustRightInd w:val="0"/>
              <w:spacing w:line="240" w:lineRule="auto"/>
              <w:rPr>
                <w:rFonts w:eastAsia="Times New Roman" w:cs="Times New Roman"/>
                <w:sz w:val="20"/>
                <w:szCs w:val="18"/>
              </w:rPr>
            </w:pPr>
            <w:r w:rsidRPr="009974E0">
              <w:rPr>
                <w:rFonts w:eastAsia="Times New Roman" w:cs="Times New Roman"/>
                <w:sz w:val="20"/>
                <w:szCs w:val="18"/>
              </w:rPr>
              <w:t xml:space="preserve">     Other type</w:t>
            </w:r>
          </w:p>
        </w:tc>
        <w:tc>
          <w:tcPr>
            <w:tcW w:w="1512" w:type="dxa"/>
          </w:tcPr>
          <w:p w14:paraId="4E565B22" w14:textId="77777777" w:rsidR="005B6F5E" w:rsidRPr="009974E0" w:rsidRDefault="005B6F5E" w:rsidP="00BC538E">
            <w:pPr>
              <w:widowControl w:val="0"/>
              <w:autoSpaceDE w:val="0"/>
              <w:autoSpaceDN w:val="0"/>
              <w:adjustRightInd w:val="0"/>
              <w:spacing w:line="240" w:lineRule="auto"/>
              <w:ind w:left="498" w:firstLine="90"/>
              <w:rPr>
                <w:rFonts w:eastAsia="Times New Roman" w:cs="Times New Roman"/>
                <w:sz w:val="20"/>
                <w:szCs w:val="18"/>
              </w:rPr>
            </w:pPr>
            <w:r w:rsidRPr="009974E0">
              <w:rPr>
                <w:rFonts w:eastAsia="Times New Roman" w:cs="Times New Roman"/>
                <w:sz w:val="20"/>
                <w:szCs w:val="18"/>
              </w:rPr>
              <w:t>3.144</w:t>
            </w:r>
          </w:p>
        </w:tc>
        <w:tc>
          <w:tcPr>
            <w:tcW w:w="1206" w:type="dxa"/>
          </w:tcPr>
          <w:p w14:paraId="61F3084F" w14:textId="77777777" w:rsidR="005B6F5E" w:rsidRPr="009974E0" w:rsidRDefault="005B6F5E" w:rsidP="00BC538E">
            <w:pPr>
              <w:widowControl w:val="0"/>
              <w:autoSpaceDE w:val="0"/>
              <w:autoSpaceDN w:val="0"/>
              <w:adjustRightInd w:val="0"/>
              <w:spacing w:line="240" w:lineRule="auto"/>
              <w:ind w:left="-168" w:right="116" w:firstLine="216"/>
              <w:rPr>
                <w:rFonts w:eastAsia="Times New Roman" w:cs="Times New Roman"/>
                <w:sz w:val="20"/>
                <w:szCs w:val="18"/>
              </w:rPr>
            </w:pPr>
            <w:r w:rsidRPr="009974E0">
              <w:rPr>
                <w:rFonts w:eastAsia="Times New Roman" w:cs="Times New Roman"/>
                <w:sz w:val="20"/>
                <w:szCs w:val="18"/>
              </w:rPr>
              <w:t>(2.685)</w:t>
            </w:r>
          </w:p>
        </w:tc>
      </w:tr>
    </w:tbl>
    <w:p w14:paraId="6DA46D41" w14:textId="77777777" w:rsidR="005B6F5E" w:rsidRPr="005A0A52" w:rsidRDefault="005B6F5E" w:rsidP="005B6F5E">
      <w:pPr>
        <w:widowControl w:val="0"/>
        <w:autoSpaceDE w:val="0"/>
        <w:autoSpaceDN w:val="0"/>
        <w:adjustRightInd w:val="0"/>
        <w:spacing w:line="240" w:lineRule="auto"/>
        <w:rPr>
          <w:rFonts w:eastAsia="Times New Roman" w:cs="Times New Roman"/>
          <w:sz w:val="20"/>
          <w:szCs w:val="20"/>
        </w:rPr>
      </w:pPr>
      <w:r w:rsidRPr="005A0A52">
        <w:rPr>
          <w:rFonts w:eastAsia="Times New Roman" w:cs="Times New Roman"/>
          <w:sz w:val="20"/>
          <w:szCs w:val="20"/>
        </w:rPr>
        <w:t>Exponentiated coefficients; Standard errors in parentheses</w:t>
      </w:r>
    </w:p>
    <w:p w14:paraId="4292DE69" w14:textId="56CB616E" w:rsidR="005E70FF" w:rsidRPr="004C133C" w:rsidRDefault="005B6F5E" w:rsidP="004C133C">
      <w:r w:rsidRPr="005A0A52">
        <w:rPr>
          <w:rFonts w:eastAsia="Times New Roman" w:cs="Times New Roman"/>
          <w:sz w:val="20"/>
          <w:szCs w:val="20"/>
          <w:vertAlign w:val="superscript"/>
        </w:rPr>
        <w:t>*</w:t>
      </w:r>
      <w:r w:rsidRPr="005A0A52">
        <w:rPr>
          <w:rFonts w:eastAsia="Times New Roman" w:cs="Times New Roman"/>
          <w:sz w:val="20"/>
          <w:szCs w:val="20"/>
        </w:rPr>
        <w:t xml:space="preserve"> </w:t>
      </w:r>
      <w:r w:rsidRPr="005A0A52">
        <w:rPr>
          <w:rFonts w:eastAsia="Times New Roman" w:cs="Times New Roman"/>
          <w:i/>
          <w:iCs/>
          <w:sz w:val="20"/>
          <w:szCs w:val="20"/>
        </w:rPr>
        <w:t>p</w:t>
      </w:r>
      <w:r w:rsidRPr="005A0A52">
        <w:rPr>
          <w:rFonts w:eastAsia="Times New Roman" w:cs="Times New Roman"/>
          <w:sz w:val="20"/>
          <w:szCs w:val="20"/>
        </w:rPr>
        <w:t xml:space="preserve"> &lt; 0.05</w:t>
      </w:r>
    </w:p>
    <w:p w14:paraId="0CF09090" w14:textId="5365A3E2" w:rsidR="00525FA9" w:rsidRDefault="00525FA9" w:rsidP="009974E0">
      <w:pPr>
        <w:pStyle w:val="Heading3"/>
      </w:pPr>
      <w:r>
        <w:t>Friendship Networks</w:t>
      </w:r>
      <w:r w:rsidR="00303F56">
        <w:t xml:space="preserve"> and Correlates of Women’s Incarceration</w:t>
      </w:r>
      <w:r>
        <w:t xml:space="preserve"> </w:t>
      </w:r>
    </w:p>
    <w:p w14:paraId="4B133140" w14:textId="73B4530F" w:rsidR="002B42F7" w:rsidRPr="009974E0" w:rsidRDefault="002B42F7" w:rsidP="002B42F7">
      <w:pPr>
        <w:ind w:firstLine="720"/>
        <w:rPr>
          <w:rFonts w:eastAsia="Times New Roman" w:cs="Times New Roman"/>
          <w:sz w:val="28"/>
          <w:szCs w:val="28"/>
        </w:rPr>
      </w:pPr>
      <w:r w:rsidRPr="7EE7250F">
        <w:rPr>
          <w:rFonts w:eastAsia="Times New Roman" w:cs="Times New Roman"/>
          <w:color w:val="000000" w:themeColor="text1"/>
        </w:rPr>
        <w:t xml:space="preserve">Social organization and experiences of imprisoned women have traditionally been studied using ethnographic and descriptive methods. Research in this vein has been foundational to understanding the reality of imprisonment for women, which is often fundamentally distinct from the experience of their male counterparts. </w:t>
      </w:r>
      <w:r w:rsidR="481F0F89" w:rsidRPr="7EE7250F">
        <w:rPr>
          <w:rFonts w:eastAsia="Times New Roman" w:cs="Times New Roman"/>
          <w:color w:val="000000" w:themeColor="text1"/>
        </w:rPr>
        <w:t>F</w:t>
      </w:r>
      <w:r w:rsidRPr="7EE7250F">
        <w:rPr>
          <w:rFonts w:eastAsia="Times New Roman" w:cs="Times New Roman"/>
          <w:color w:val="000000" w:themeColor="text1"/>
        </w:rPr>
        <w:t xml:space="preserve">eminist scholarship finds that women </w:t>
      </w:r>
      <w:r w:rsidR="2567C465" w:rsidRPr="7EE7250F">
        <w:rPr>
          <w:rFonts w:eastAsia="Times New Roman" w:cs="Times New Roman"/>
          <w:color w:val="000000" w:themeColor="text1"/>
        </w:rPr>
        <w:t>often</w:t>
      </w:r>
      <w:r w:rsidRPr="7EE7250F">
        <w:rPr>
          <w:rFonts w:eastAsia="Times New Roman" w:cs="Times New Roman"/>
          <w:color w:val="000000" w:themeColor="text1"/>
        </w:rPr>
        <w:t xml:space="preserve"> engage in offending behavior related to comorbid mental health conditions, traumatic experiences, co-offending partners, homelessness, and other traumatic lived </w:t>
      </w:r>
      <w:r w:rsidR="71DB2FD7" w:rsidRPr="7EE7250F">
        <w:rPr>
          <w:rFonts w:eastAsia="Times New Roman" w:cs="Times New Roman"/>
          <w:color w:val="000000" w:themeColor="text1"/>
        </w:rPr>
        <w:t>experiences</w:t>
      </w:r>
      <w:r w:rsidRPr="7EE7250F">
        <w:rPr>
          <w:rFonts w:eastAsia="Times New Roman" w:cs="Times New Roman"/>
          <w:color w:val="000000" w:themeColor="text1"/>
        </w:rPr>
        <w:t>. Justice-involved women have high</w:t>
      </w:r>
      <w:r w:rsidR="16C8433B" w:rsidRPr="7EE7250F">
        <w:rPr>
          <w:rFonts w:eastAsia="Times New Roman" w:cs="Times New Roman"/>
          <w:color w:val="000000" w:themeColor="text1"/>
        </w:rPr>
        <w:t>er</w:t>
      </w:r>
      <w:r w:rsidRPr="7EE7250F">
        <w:rPr>
          <w:rFonts w:eastAsia="Times New Roman" w:cs="Times New Roman"/>
          <w:color w:val="000000" w:themeColor="text1"/>
        </w:rPr>
        <w:t xml:space="preserve"> rates of mental illness, substance use disorder, and interpersonal violence and victimization—experiences that are widely considered the correlates of women’s imprisonment</w:t>
      </w:r>
      <w:r w:rsidR="4223DCC6" w:rsidRPr="7EE7250F">
        <w:rPr>
          <w:rFonts w:eastAsia="Times New Roman" w:cs="Times New Roman"/>
          <w:color w:val="000000" w:themeColor="text1"/>
        </w:rPr>
        <w:t>—than the general population and imprisoned men</w:t>
      </w:r>
      <w:r w:rsidRPr="7EE7250F">
        <w:rPr>
          <w:rFonts w:eastAsia="Times New Roman" w:cs="Times New Roman"/>
          <w:color w:val="000000" w:themeColor="text1"/>
        </w:rPr>
        <w:t xml:space="preserve"> (Dehart, 2018; Daly, 1992; Daly and Chesney-Lind, 1988). Such </w:t>
      </w:r>
      <w:r w:rsidR="7ABB7262" w:rsidRPr="7EE7250F">
        <w:rPr>
          <w:rFonts w:eastAsia="Times New Roman" w:cs="Times New Roman"/>
          <w:color w:val="000000" w:themeColor="text1"/>
        </w:rPr>
        <w:t xml:space="preserve">challenges </w:t>
      </w:r>
      <w:r w:rsidRPr="7EE7250F">
        <w:rPr>
          <w:rFonts w:eastAsia="Times New Roman" w:cs="Times New Roman"/>
          <w:color w:val="000000" w:themeColor="text1"/>
        </w:rPr>
        <w:t>are likely to damage trust and comfort navigating social situations. Recent work has connected prior experiences of victimization to the current wellbeing of imprisoned women. But while ethnographic approaches are crucial to understanding the deeply impactful, emotional, and traumatic experience of imprisoned women, they lack the ability to conduct deductive tests or operationalize and measure prison social structure (Kreager et al., 2017).</w:t>
      </w:r>
    </w:p>
    <w:p w14:paraId="75F64A99" w14:textId="4BC486FB" w:rsidR="002B42F7" w:rsidRPr="009974E0" w:rsidRDefault="1C1AA7A4" w:rsidP="002B42F7">
      <w:pPr>
        <w:ind w:firstLine="720"/>
        <w:rPr>
          <w:rFonts w:eastAsia="Times New Roman" w:cs="Times New Roman"/>
          <w:sz w:val="28"/>
          <w:szCs w:val="28"/>
        </w:rPr>
      </w:pPr>
      <w:r w:rsidRPr="7EE7250F">
        <w:rPr>
          <w:rFonts w:eastAsia="Times New Roman" w:cs="Times New Roman"/>
          <w:color w:val="000000" w:themeColor="text1"/>
        </w:rPr>
        <w:t>Utilizing social network analysis, w</w:t>
      </w:r>
      <w:r w:rsidR="002B42F7" w:rsidRPr="7EE7250F">
        <w:rPr>
          <w:rFonts w:eastAsia="Times New Roman" w:cs="Times New Roman"/>
          <w:color w:val="000000" w:themeColor="text1"/>
        </w:rPr>
        <w:t>e looked at the common experiences of childhood victimization, mental illness, and substance use disorders that often characterize women’s incarceration and how they shaped social structures in the units. These other factors are consistent with the pains of imprisonment and the emergent nature of prison society.</w:t>
      </w:r>
      <w:r w:rsidR="00F060F4">
        <w:rPr>
          <w:rFonts w:eastAsia="Times New Roman" w:cs="Times New Roman"/>
          <w:color w:val="000000" w:themeColor="text1"/>
        </w:rPr>
        <w:t xml:space="preserve"> </w:t>
      </w:r>
      <w:r w:rsidR="002B42F7" w:rsidRPr="7EE7250F">
        <w:rPr>
          <w:rFonts w:eastAsia="Times New Roman" w:cs="Times New Roman"/>
          <w:color w:val="000000" w:themeColor="text1"/>
        </w:rPr>
        <w:t xml:space="preserve">The networks in this study show friendship ties sent and received among residents of two </w:t>
      </w:r>
      <w:r w:rsidR="00F060F4">
        <w:rPr>
          <w:rFonts w:eastAsia="Times New Roman" w:cs="Times New Roman"/>
          <w:color w:val="000000" w:themeColor="text1"/>
        </w:rPr>
        <w:t xml:space="preserve">of the sampled </w:t>
      </w:r>
      <w:r w:rsidR="002B42F7" w:rsidRPr="7EE7250F">
        <w:rPr>
          <w:rFonts w:eastAsia="Times New Roman" w:cs="Times New Roman"/>
          <w:color w:val="000000" w:themeColor="text1"/>
        </w:rPr>
        <w:t>women’s prison units. We utilized the Exponential Random Graph Model (ERGM/p*) to estimate the probability of the network as it is observed compared to a collection of simulated networks with similar structures (Hunter et al., 2008). We explored the likelihood that ties between actors exist due to theoretically relevant factors beyond random chance. This approach allowed us to relax the assumption of independence that is necessary for common regression techniques and explore the social structures that have inherent dependencies between actors. To estimate these networks, examine the associations between (1) childhood victimization, mental illness, and substance use experiences, (2) factors indigenous to the prison context (e.g., time imprisoned), and (3) connectedness to other residents, operationalized using social ties.</w:t>
      </w:r>
    </w:p>
    <w:p w14:paraId="7200EF57" w14:textId="14817924" w:rsidR="002B42F7" w:rsidRDefault="002B42F7" w:rsidP="7EE7250F">
      <w:pPr>
        <w:ind w:firstLine="720"/>
        <w:rPr>
          <w:rFonts w:eastAsia="Times New Roman" w:cs="Times New Roman"/>
          <w:sz w:val="28"/>
          <w:szCs w:val="28"/>
        </w:rPr>
      </w:pPr>
      <w:r w:rsidRPr="7EE7250F">
        <w:rPr>
          <w:rFonts w:eastAsia="Times New Roman" w:cs="Times New Roman"/>
          <w:color w:val="000000" w:themeColor="text1"/>
        </w:rPr>
        <w:t xml:space="preserve">During survey administration, respondents were presented with a complete unit roster and asked to identify others they “get along with most.” Respondents were able to pick as many others as they wished to. This phrasing is preferable to asking, “Who are you friends with?” as prior literature indicates, imprisoned individuals may be reluctant to label other prisoners as “friends” and a similar measure has been used in other prison network studies (Kreager et al., 2017; Schaefer et al., 2017). </w:t>
      </w:r>
    </w:p>
    <w:p w14:paraId="4C5FDA6D" w14:textId="5702031B" w:rsidR="002B42F7" w:rsidRDefault="002B42F7" w:rsidP="7EE7250F">
      <w:pPr>
        <w:ind w:firstLine="720"/>
        <w:rPr>
          <w:rFonts w:eastAsia="Times New Roman" w:cs="Times New Roman"/>
          <w:sz w:val="28"/>
          <w:szCs w:val="28"/>
        </w:rPr>
      </w:pPr>
      <w:r w:rsidRPr="7EE7250F">
        <w:rPr>
          <w:rFonts w:eastAsia="Times New Roman" w:cs="Times New Roman"/>
          <w:color w:val="000000" w:themeColor="text1"/>
        </w:rPr>
        <w:t xml:space="preserve">This relation is directed, meaning if respondent </w:t>
      </w:r>
      <w:proofErr w:type="spellStart"/>
      <w:r w:rsidRPr="7EE7250F">
        <w:rPr>
          <w:rFonts w:eastAsia="Times New Roman" w:cs="Times New Roman"/>
          <w:color w:val="000000" w:themeColor="text1"/>
        </w:rPr>
        <w:t>i</w:t>
      </w:r>
      <w:proofErr w:type="spellEnd"/>
      <w:r w:rsidRPr="7EE7250F">
        <w:rPr>
          <w:rFonts w:eastAsia="Times New Roman" w:cs="Times New Roman"/>
          <w:color w:val="000000" w:themeColor="text1"/>
        </w:rPr>
        <w:t xml:space="preserve"> sends a tie to respondent j, j may or may not send a tie back to </w:t>
      </w:r>
      <w:proofErr w:type="spellStart"/>
      <w:r w:rsidRPr="7EE7250F">
        <w:rPr>
          <w:rFonts w:eastAsia="Times New Roman" w:cs="Times New Roman"/>
          <w:color w:val="000000" w:themeColor="text1"/>
        </w:rPr>
        <w:t>i</w:t>
      </w:r>
      <w:proofErr w:type="spellEnd"/>
      <w:r w:rsidRPr="7EE7250F">
        <w:rPr>
          <w:rFonts w:eastAsia="Times New Roman" w:cs="Times New Roman"/>
          <w:color w:val="000000" w:themeColor="text1"/>
        </w:rPr>
        <w:t>. Having an asymmetric network means we can test hypotheses related to incoming and outgoing tie formation, which are theoretically and substantively distinct. Incoming ties indicate a prisoner is identified as a person that others get along with. This shows a perceived level of time socializing and investment in friendship. It also may imply availability for social support.</w:t>
      </w:r>
      <w:r w:rsidR="3CB9FBF1" w:rsidRPr="7EE7250F">
        <w:rPr>
          <w:rFonts w:eastAsia="Times New Roman" w:cs="Times New Roman"/>
          <w:color w:val="000000" w:themeColor="text1"/>
        </w:rPr>
        <w:t xml:space="preserve"> </w:t>
      </w:r>
      <w:r w:rsidRPr="7EE7250F">
        <w:rPr>
          <w:rFonts w:eastAsia="Times New Roman" w:cs="Times New Roman"/>
          <w:color w:val="000000" w:themeColor="text1"/>
        </w:rPr>
        <w:t xml:space="preserve">Outgoing ties indicate an individual’s subjective perception of social integration. The more peers a respondent indicates are friends, the more we can assume the respondent feels integrated or embedded in the social setting. Also, it could indicate a perception of social support among fellow residents. </w:t>
      </w:r>
    </w:p>
    <w:p w14:paraId="74BE8B52" w14:textId="6BC8E19C" w:rsidR="002B42F7" w:rsidRDefault="002B42F7" w:rsidP="7EE7250F">
      <w:pPr>
        <w:ind w:firstLine="720"/>
        <w:rPr>
          <w:rFonts w:eastAsia="Times New Roman" w:cs="Times New Roman"/>
          <w:color w:val="000000"/>
        </w:rPr>
      </w:pPr>
      <w:r w:rsidRPr="7EE7250F">
        <w:rPr>
          <w:rFonts w:eastAsia="Times New Roman" w:cs="Times New Roman"/>
          <w:color w:val="000000" w:themeColor="text1"/>
        </w:rPr>
        <w:t>Together, incoming, and outgoing ties create a complementary understanding of the social integration of an individual on the unit.  Incoming ties indicate an external perception of friendship and, on the aggregate, social embeddedness. Outgoing ties indicate a personal perception of friendship and a more general feeling of social integration of the individual.</w:t>
      </w:r>
    </w:p>
    <w:p w14:paraId="3B92D6B7" w14:textId="025A16EB" w:rsidR="002B42F7" w:rsidRDefault="002B42F7" w:rsidP="002B42F7">
      <w:pPr>
        <w:ind w:firstLine="720"/>
        <w:rPr>
          <w:rFonts w:ascii="Times" w:eastAsia="Times" w:hAnsi="Times" w:cs="Times"/>
          <w:szCs w:val="24"/>
        </w:rPr>
      </w:pPr>
      <w:r w:rsidRPr="1254F758">
        <w:rPr>
          <w:rFonts w:ascii="Times" w:eastAsia="Times" w:hAnsi="Times" w:cs="Times"/>
          <w:szCs w:val="24"/>
        </w:rPr>
        <w:t xml:space="preserve">During the survey, respondents were asked to respond to a battery of questions about their experiences of victimization. The questions asked the respondent if they had been victimized or threatened in one of three ways-- physically, sexually, and with a weapon—during their childhood. From their responses, participants were assigned a 0 for </w:t>
      </w:r>
      <w:r w:rsidRPr="1254F758">
        <w:rPr>
          <w:rFonts w:ascii="Times" w:eastAsia="Times" w:hAnsi="Times" w:cs="Times"/>
          <w:i/>
          <w:iCs/>
          <w:szCs w:val="24"/>
        </w:rPr>
        <w:t xml:space="preserve">Victimization </w:t>
      </w:r>
      <w:r w:rsidRPr="1254F758">
        <w:rPr>
          <w:rFonts w:ascii="Times" w:eastAsia="Times" w:hAnsi="Times" w:cs="Times"/>
          <w:szCs w:val="24"/>
        </w:rPr>
        <w:t xml:space="preserve">if they answered no to the entire battery of questions and a 1 if they reported a yes to any of those questions. </w:t>
      </w:r>
      <w:r w:rsidRPr="596A5921">
        <w:rPr>
          <w:rFonts w:ascii="Times" w:eastAsia="Times" w:hAnsi="Times" w:cs="Times"/>
          <w:szCs w:val="24"/>
        </w:rPr>
        <w:t>As shown in Table 1, 56% of all</w:t>
      </w:r>
      <w:r w:rsidRPr="1254F758">
        <w:rPr>
          <w:rFonts w:ascii="Times" w:eastAsia="Times" w:hAnsi="Times" w:cs="Times"/>
          <w:szCs w:val="24"/>
        </w:rPr>
        <w:t xml:space="preserve"> respondents reported experiencing victimization during childhood.</w:t>
      </w:r>
    </w:p>
    <w:p w14:paraId="0B43EDC5" w14:textId="61D0E3F4" w:rsidR="002B42F7" w:rsidRDefault="002B42F7" w:rsidP="7EE7250F">
      <w:pPr>
        <w:ind w:firstLine="720"/>
        <w:rPr>
          <w:rFonts w:ascii="Times" w:eastAsia="Times" w:hAnsi="Times" w:cs="Times"/>
        </w:rPr>
      </w:pPr>
      <w:r w:rsidRPr="7EE7250F">
        <w:rPr>
          <w:rFonts w:ascii="Times" w:eastAsia="Times" w:hAnsi="Times" w:cs="Times"/>
        </w:rPr>
        <w:t xml:space="preserve">The survey included an abbreviated form of Radloff's (1977) CES-D scale. Shortened forms of the CES-D have been validated by Grzywacz et al. (2006), among others. Respondents were asked to respond to a series of 7 statements by indicating how often (1. </w:t>
      </w:r>
      <w:r w:rsidRPr="7EE7250F">
        <w:rPr>
          <w:rFonts w:ascii="Times" w:eastAsia="Times" w:hAnsi="Times" w:cs="Times"/>
          <w:i/>
          <w:iCs/>
        </w:rPr>
        <w:t xml:space="preserve">Rarely or none of the time (&lt; 1 day), </w:t>
      </w:r>
      <w:r w:rsidRPr="7EE7250F">
        <w:rPr>
          <w:rFonts w:ascii="Times" w:eastAsia="Times" w:hAnsi="Times" w:cs="Times"/>
        </w:rPr>
        <w:t xml:space="preserve">2. </w:t>
      </w:r>
      <w:r w:rsidRPr="7EE7250F">
        <w:rPr>
          <w:rFonts w:ascii="Times" w:eastAsia="Times" w:hAnsi="Times" w:cs="Times"/>
          <w:i/>
          <w:iCs/>
        </w:rPr>
        <w:t xml:space="preserve">Some or a little of the time (1-2 days), </w:t>
      </w:r>
      <w:r w:rsidRPr="7EE7250F">
        <w:rPr>
          <w:rFonts w:ascii="Times" w:eastAsia="Times" w:hAnsi="Times" w:cs="Times"/>
        </w:rPr>
        <w:t xml:space="preserve">3. </w:t>
      </w:r>
      <w:r w:rsidRPr="7EE7250F">
        <w:rPr>
          <w:rFonts w:ascii="Times" w:eastAsia="Times" w:hAnsi="Times" w:cs="Times"/>
          <w:i/>
          <w:iCs/>
        </w:rPr>
        <w:t xml:space="preserve">Occasionally (3-4 days), </w:t>
      </w:r>
      <w:r w:rsidRPr="7EE7250F">
        <w:rPr>
          <w:rFonts w:ascii="Times" w:eastAsia="Times" w:hAnsi="Times" w:cs="Times"/>
        </w:rPr>
        <w:t>4.</w:t>
      </w:r>
      <w:r w:rsidRPr="7EE7250F">
        <w:rPr>
          <w:rFonts w:ascii="Times" w:eastAsia="Times" w:hAnsi="Times" w:cs="Times"/>
          <w:i/>
          <w:iCs/>
        </w:rPr>
        <w:t xml:space="preserve"> Most or all of the time (5-7 days)</w:t>
      </w:r>
      <w:r w:rsidRPr="7EE7250F">
        <w:rPr>
          <w:rFonts w:ascii="Times" w:eastAsia="Times" w:hAnsi="Times" w:cs="Times"/>
        </w:rPr>
        <w:t>) they agreed. Statements included “my appetite was poor”, “My sleep was restless”, “I felt depressed</w:t>
      </w:r>
      <w:r w:rsidR="02344031" w:rsidRPr="7EE7250F">
        <w:rPr>
          <w:rFonts w:ascii="Times" w:eastAsia="Times" w:hAnsi="Times" w:cs="Times"/>
        </w:rPr>
        <w:t>,</w:t>
      </w:r>
      <w:r w:rsidR="01C57787" w:rsidRPr="7EE7250F">
        <w:rPr>
          <w:rFonts w:ascii="Times" w:eastAsia="Times" w:hAnsi="Times" w:cs="Times"/>
        </w:rPr>
        <w:t>”</w:t>
      </w:r>
      <w:r w:rsidRPr="7EE7250F">
        <w:rPr>
          <w:rFonts w:ascii="Times" w:eastAsia="Times" w:hAnsi="Times" w:cs="Times"/>
        </w:rPr>
        <w:t xml:space="preserve"> and others</w:t>
      </w:r>
      <w:r w:rsidR="09614D9F" w:rsidRPr="7EE7250F">
        <w:rPr>
          <w:rFonts w:ascii="Times" w:eastAsia="Times" w:hAnsi="Times" w:cs="Times"/>
        </w:rPr>
        <w:t>.</w:t>
      </w:r>
      <w:r w:rsidRPr="7EE7250F">
        <w:rPr>
          <w:rFonts w:ascii="Times" w:eastAsia="Times" w:hAnsi="Times" w:cs="Times"/>
        </w:rPr>
        <w:t xml:space="preserve"> Respondents’ scores were averaged to create a scale (Alpha = 0.78), </w:t>
      </w:r>
      <w:r w:rsidRPr="7EE7250F">
        <w:rPr>
          <w:rFonts w:ascii="Times" w:eastAsia="Times" w:hAnsi="Times" w:cs="Times"/>
          <w:i/>
          <w:iCs/>
        </w:rPr>
        <w:t xml:space="preserve">Mental Health, </w:t>
      </w:r>
      <w:r w:rsidRPr="7EE7250F">
        <w:rPr>
          <w:rFonts w:ascii="Times" w:eastAsia="Times" w:hAnsi="Times" w:cs="Times"/>
        </w:rPr>
        <w:t>which indicates the approximate severity of mental health challenges. Respondents’ mean score on the scale was 3.13 indicating occasional to most of the time agreeing with the presented statements. While this measure only captures respondents’ experiences in the week prior to survey administration, it has the potential to represent long standing mental health issues and the present pains of imprisonment, which are highly distressing and could lead to depressive symptoms.</w:t>
      </w:r>
    </w:p>
    <w:p w14:paraId="236A9A9D" w14:textId="1F191C3E" w:rsidR="002B42F7" w:rsidRPr="004C133C" w:rsidRDefault="4D30D6DB" w:rsidP="7EE7250F">
      <w:pPr>
        <w:ind w:firstLine="720"/>
        <w:rPr>
          <w:rFonts w:ascii="Times" w:eastAsia="Times" w:hAnsi="Times" w:cs="Times"/>
          <w:szCs w:val="24"/>
        </w:rPr>
      </w:pPr>
      <w:r w:rsidRPr="7EE7250F">
        <w:rPr>
          <w:rFonts w:ascii="Times" w:eastAsia="Times" w:hAnsi="Times" w:cs="Times"/>
          <w:color w:val="000000" w:themeColor="text1"/>
          <w:szCs w:val="24"/>
          <w:lang w:val="en"/>
        </w:rPr>
        <w:t>Upon intake, individuals incarcerated by PADOC are screened for substance use disorders using the Texas Christian University drug screen instrument (Knight, 2007</w:t>
      </w:r>
      <w:r w:rsidRPr="004C133C">
        <w:rPr>
          <w:rFonts w:ascii="Times" w:eastAsia="Times" w:hAnsi="Times" w:cs="Times"/>
          <w:szCs w:val="24"/>
          <w:lang w:val="en"/>
        </w:rPr>
        <w:t xml:space="preserve">; Institute of Behavioral Research, 2007). Respondents receive a score indicating drug and alcohol dependence between 0 and 9, with higher scores indicating greater levels of dependence. </w:t>
      </w:r>
      <w:r w:rsidRPr="004C133C">
        <w:rPr>
          <w:rFonts w:ascii="Times" w:eastAsia="Times" w:hAnsi="Times" w:cs="Times"/>
          <w:i/>
          <w:iCs/>
          <w:szCs w:val="24"/>
          <w:lang w:val="en"/>
        </w:rPr>
        <w:t xml:space="preserve">Substance Use </w:t>
      </w:r>
      <w:r w:rsidRPr="004C133C">
        <w:rPr>
          <w:rFonts w:ascii="Times" w:eastAsia="Times" w:hAnsi="Times" w:cs="Times"/>
          <w:szCs w:val="24"/>
          <w:lang w:val="en"/>
        </w:rPr>
        <w:t xml:space="preserve">identifies respondents who meet the DSM-IV clinical threshold for a substance use disorder, which is a score of 6 or greater. 44% of respondents meet these criteria.  </w:t>
      </w:r>
    </w:p>
    <w:p w14:paraId="0FCFFA2C" w14:textId="77777777" w:rsidR="002B42F7" w:rsidRPr="009974E0" w:rsidRDefault="002B42F7" w:rsidP="002B42F7">
      <w:pPr>
        <w:ind w:firstLine="720"/>
        <w:rPr>
          <w:rFonts w:eastAsia="Times New Roman" w:cs="Times New Roman"/>
          <w:sz w:val="28"/>
          <w:szCs w:val="28"/>
        </w:rPr>
      </w:pPr>
      <w:r>
        <w:rPr>
          <w:rFonts w:eastAsia="Times New Roman" w:cs="Times New Roman"/>
          <w:color w:val="000000"/>
          <w:szCs w:val="24"/>
        </w:rPr>
        <w:t>T</w:t>
      </w:r>
      <w:r w:rsidRPr="009974E0">
        <w:rPr>
          <w:rFonts w:eastAsia="Times New Roman" w:cs="Times New Roman"/>
          <w:color w:val="000000"/>
          <w:szCs w:val="24"/>
        </w:rPr>
        <w:t xml:space="preserve">o move past the shortcomings of regression-based analysis techniques for network data, we utilized Exponential Random Graph Models (ERGMs) to examine each unit’s friendship </w:t>
      </w:r>
      <w:r w:rsidRPr="00834E9C">
        <w:rPr>
          <w:rFonts w:eastAsia="Times New Roman" w:cs="Times New Roman"/>
          <w:color w:val="000000"/>
          <w:szCs w:val="24"/>
        </w:rPr>
        <w:t xml:space="preserve">network (Frank &amp; Strauss, 1986; Holland &amp; </w:t>
      </w:r>
      <w:proofErr w:type="spellStart"/>
      <w:r w:rsidRPr="00834E9C">
        <w:rPr>
          <w:rFonts w:eastAsia="Times New Roman" w:cs="Times New Roman"/>
          <w:color w:val="000000"/>
          <w:szCs w:val="24"/>
        </w:rPr>
        <w:t>Leinhardt</w:t>
      </w:r>
      <w:proofErr w:type="spellEnd"/>
      <w:r w:rsidRPr="00834E9C">
        <w:rPr>
          <w:rFonts w:eastAsia="Times New Roman" w:cs="Times New Roman"/>
          <w:color w:val="000000"/>
          <w:szCs w:val="24"/>
        </w:rPr>
        <w:t>; 1981). Using Markov chain Monte Carlo</w:t>
      </w:r>
      <w:r w:rsidRPr="009974E0">
        <w:rPr>
          <w:rFonts w:eastAsia="Times New Roman" w:cs="Times New Roman"/>
          <w:color w:val="000000"/>
          <w:szCs w:val="24"/>
        </w:rPr>
        <w:t xml:space="preserve"> (MCMC), ERGMs are fitted by a random algorithm that takes a sample of all possible networks drawn from a probability distribution and uses this sample to approximate the true likelihood of the observed network. In other words, these models estimate the chances that observed network properties can be predicted by a hypothetically meaningful actor, tie, or structural attribute compared to what might occur randomly. ERGMs help to account for endogenous network processes that can affect network structure but are not accounted for in classical analytical techniques. For example, ERGMs can take into account the propensity for individuals to send </w:t>
      </w:r>
      <w:r>
        <w:rPr>
          <w:rFonts w:eastAsia="Times New Roman" w:cs="Times New Roman"/>
          <w:color w:val="000000"/>
          <w:szCs w:val="24"/>
        </w:rPr>
        <w:t xml:space="preserve">network </w:t>
      </w:r>
      <w:r w:rsidRPr="009974E0">
        <w:rPr>
          <w:rFonts w:eastAsia="Times New Roman" w:cs="Times New Roman"/>
          <w:color w:val="000000"/>
          <w:szCs w:val="24"/>
        </w:rPr>
        <w:t>ties back to those who send ties to them (</w:t>
      </w:r>
      <w:proofErr w:type="gramStart"/>
      <w:r w:rsidRPr="009974E0">
        <w:rPr>
          <w:rFonts w:eastAsia="Times New Roman" w:cs="Times New Roman"/>
          <w:color w:val="000000"/>
          <w:szCs w:val="24"/>
        </w:rPr>
        <w:t>i.e.</w:t>
      </w:r>
      <w:proofErr w:type="gramEnd"/>
      <w:r w:rsidRPr="009974E0">
        <w:rPr>
          <w:rFonts w:eastAsia="Times New Roman" w:cs="Times New Roman"/>
          <w:color w:val="000000"/>
          <w:szCs w:val="24"/>
        </w:rPr>
        <w:t xml:space="preserve"> reciprocity). Without these considerations, modeling procedures can result in artificially inflated estimations of the effects of predictors. Also, </w:t>
      </w:r>
      <w:r w:rsidRPr="00834E9C">
        <w:rPr>
          <w:rFonts w:eastAsia="Times New Roman" w:cs="Times New Roman"/>
          <w:color w:val="000000"/>
          <w:szCs w:val="24"/>
        </w:rPr>
        <w:t>ERGMs allow analyses at the dyad level without violating assumptions of dependence (Robins et al., 2007).</w:t>
      </w:r>
    </w:p>
    <w:p w14:paraId="38BD142B" w14:textId="77777777" w:rsidR="002B42F7" w:rsidRDefault="002B42F7" w:rsidP="002B42F7">
      <w:pPr>
        <w:ind w:firstLine="720"/>
        <w:rPr>
          <w:rFonts w:ascii="Times" w:eastAsia="Times" w:hAnsi="Times" w:cs="Times"/>
          <w:szCs w:val="24"/>
        </w:rPr>
      </w:pPr>
      <w:r w:rsidRPr="009974E0">
        <w:rPr>
          <w:rFonts w:eastAsia="Times New Roman" w:cs="Times New Roman"/>
          <w:color w:val="000000"/>
          <w:szCs w:val="24"/>
        </w:rPr>
        <w:t>ERGM models utilized respondent attributes (</w:t>
      </w:r>
      <w:r>
        <w:rPr>
          <w:rFonts w:eastAsia="Times New Roman" w:cs="Times New Roman"/>
          <w:color w:val="000000"/>
          <w:szCs w:val="24"/>
        </w:rPr>
        <w:t xml:space="preserve">e.g., </w:t>
      </w:r>
      <w:r w:rsidRPr="009974E0">
        <w:rPr>
          <w:rFonts w:eastAsia="Times New Roman" w:cs="Times New Roman"/>
          <w:color w:val="000000"/>
          <w:szCs w:val="24"/>
        </w:rPr>
        <w:t>victimization experiences, time served, and race) and structural properties (</w:t>
      </w:r>
      <w:r>
        <w:rPr>
          <w:rFonts w:eastAsia="Times New Roman" w:cs="Times New Roman"/>
          <w:color w:val="000000"/>
          <w:szCs w:val="24"/>
        </w:rPr>
        <w:t xml:space="preserve">e.g., </w:t>
      </w:r>
      <w:r w:rsidRPr="009974E0">
        <w:rPr>
          <w:rFonts w:eastAsia="Times New Roman" w:cs="Times New Roman"/>
          <w:color w:val="000000"/>
          <w:szCs w:val="24"/>
        </w:rPr>
        <w:t xml:space="preserve">density, reciprocity, friendship skew) to estimate the probability of the observed network compared to random chance. </w:t>
      </w:r>
      <w:r w:rsidRPr="1254F758">
        <w:rPr>
          <w:rFonts w:ascii="Times" w:eastAsia="Times" w:hAnsi="Times" w:cs="Times"/>
          <w:szCs w:val="24"/>
        </w:rPr>
        <w:t xml:space="preserve">Table </w:t>
      </w:r>
      <w:r>
        <w:rPr>
          <w:rFonts w:ascii="Times" w:eastAsia="Times" w:hAnsi="Times" w:cs="Times"/>
          <w:szCs w:val="24"/>
        </w:rPr>
        <w:t>9</w:t>
      </w:r>
      <w:r w:rsidRPr="1254F758">
        <w:rPr>
          <w:rFonts w:ascii="Times" w:eastAsia="Times" w:hAnsi="Times" w:cs="Times"/>
          <w:szCs w:val="24"/>
        </w:rPr>
        <w:t xml:space="preserve"> presents results of ERGM estimations of the likelihood of friendship ties between residents living on the same prison unit. ERGM coefficients may be interpreted similar to that of a binary logistic regression. Coefficient</w:t>
      </w:r>
      <w:r>
        <w:rPr>
          <w:rFonts w:ascii="Times" w:eastAsia="Times" w:hAnsi="Times" w:cs="Times"/>
          <w:szCs w:val="24"/>
        </w:rPr>
        <w:t>s</w:t>
      </w:r>
      <w:r w:rsidRPr="1254F758">
        <w:rPr>
          <w:rFonts w:ascii="Times" w:eastAsia="Times" w:hAnsi="Times" w:cs="Times"/>
          <w:szCs w:val="24"/>
        </w:rPr>
        <w:t xml:space="preserve"> represent change</w:t>
      </w:r>
      <w:r>
        <w:rPr>
          <w:rFonts w:ascii="Times" w:eastAsia="Times" w:hAnsi="Times" w:cs="Times"/>
          <w:szCs w:val="24"/>
        </w:rPr>
        <w:t>s</w:t>
      </w:r>
      <w:r w:rsidRPr="1254F758">
        <w:rPr>
          <w:rFonts w:ascii="Times" w:eastAsia="Times" w:hAnsi="Times" w:cs="Times"/>
          <w:szCs w:val="24"/>
        </w:rPr>
        <w:t xml:space="preserve"> in the </w:t>
      </w:r>
      <w:proofErr w:type="spellStart"/>
      <w:r w:rsidRPr="1254F758">
        <w:rPr>
          <w:rFonts w:ascii="Times" w:eastAsia="Times" w:hAnsi="Times" w:cs="Times"/>
          <w:szCs w:val="24"/>
        </w:rPr>
        <w:t>log</w:t>
      </w:r>
      <w:proofErr w:type="spellEnd"/>
      <w:r w:rsidRPr="1254F758">
        <w:rPr>
          <w:rFonts w:ascii="Times" w:eastAsia="Times" w:hAnsi="Times" w:cs="Times"/>
          <w:szCs w:val="24"/>
        </w:rPr>
        <w:t xml:space="preserve"> odds of tie</w:t>
      </w:r>
      <w:r>
        <w:rPr>
          <w:rFonts w:ascii="Times" w:eastAsia="Times" w:hAnsi="Times" w:cs="Times"/>
          <w:szCs w:val="24"/>
        </w:rPr>
        <w:t>s</w:t>
      </w:r>
      <w:r w:rsidRPr="1254F758">
        <w:rPr>
          <w:rFonts w:ascii="Times" w:eastAsia="Times" w:hAnsi="Times" w:cs="Times"/>
          <w:szCs w:val="24"/>
        </w:rPr>
        <w:t xml:space="preserve"> existing while holding the rest of the network constant</w:t>
      </w:r>
      <w:r>
        <w:rPr>
          <w:rFonts w:ascii="Times" w:eastAsia="Times" w:hAnsi="Times" w:cs="Times"/>
          <w:szCs w:val="24"/>
        </w:rPr>
        <w:t>.</w:t>
      </w:r>
      <w:r w:rsidRPr="1254F758">
        <w:rPr>
          <w:rFonts w:ascii="Times" w:eastAsia="Times" w:hAnsi="Times" w:cs="Times"/>
          <w:szCs w:val="24"/>
        </w:rPr>
        <w:t xml:space="preserve"> </w:t>
      </w:r>
      <w:r>
        <w:rPr>
          <w:rFonts w:ascii="Times" w:eastAsia="Times" w:hAnsi="Times" w:cs="Times"/>
          <w:szCs w:val="24"/>
        </w:rPr>
        <w:t xml:space="preserve">Thus, </w:t>
      </w:r>
      <w:r w:rsidRPr="1254F758">
        <w:rPr>
          <w:rFonts w:ascii="Times" w:eastAsia="Times" w:hAnsi="Times" w:cs="Times"/>
          <w:szCs w:val="24"/>
        </w:rPr>
        <w:t>exponentiating a coefficient estimate</w:t>
      </w:r>
      <w:r>
        <w:rPr>
          <w:rFonts w:ascii="Times" w:eastAsia="Times" w:hAnsi="Times" w:cs="Times"/>
          <w:szCs w:val="24"/>
        </w:rPr>
        <w:t>s</w:t>
      </w:r>
      <w:r w:rsidRPr="1254F758">
        <w:rPr>
          <w:rFonts w:ascii="Times" w:eastAsia="Times" w:hAnsi="Times" w:cs="Times"/>
          <w:szCs w:val="24"/>
        </w:rPr>
        <w:t xml:space="preserve"> the change in predicted probability of a tie </w:t>
      </w:r>
      <w:r>
        <w:rPr>
          <w:rFonts w:ascii="Times" w:eastAsia="Times" w:hAnsi="Times" w:cs="Times"/>
          <w:szCs w:val="24"/>
        </w:rPr>
        <w:t>for</w:t>
      </w:r>
      <w:r w:rsidRPr="1254F758">
        <w:rPr>
          <w:rFonts w:ascii="Times" w:eastAsia="Times" w:hAnsi="Times" w:cs="Times"/>
          <w:szCs w:val="24"/>
        </w:rPr>
        <w:t xml:space="preserve"> the attribute in question (Hunter et al., 2008). </w:t>
      </w:r>
    </w:p>
    <w:p w14:paraId="48BB9993" w14:textId="77777777" w:rsidR="002B42F7" w:rsidRDefault="002B42F7" w:rsidP="002B42F7">
      <w:pPr>
        <w:ind w:firstLine="720"/>
        <w:rPr>
          <w:rFonts w:ascii="Times" w:eastAsia="Times" w:hAnsi="Times" w:cs="Times"/>
          <w:szCs w:val="24"/>
        </w:rPr>
      </w:pPr>
      <w:r w:rsidRPr="72C49CF6">
        <w:rPr>
          <w:rFonts w:ascii="Times" w:eastAsia="Times" w:hAnsi="Times" w:cs="Times"/>
          <w:szCs w:val="24"/>
        </w:rPr>
        <w:t>In both units, victimization is significantly associated with tie formation</w:t>
      </w:r>
      <w:r>
        <w:rPr>
          <w:rFonts w:ascii="Times" w:eastAsia="Times" w:hAnsi="Times" w:cs="Times"/>
          <w:szCs w:val="24"/>
        </w:rPr>
        <w:t xml:space="preserve"> but in different directions depending on the origin of the tie (i.e., sending or receiving a tie)</w:t>
      </w:r>
      <w:r w:rsidRPr="72C49CF6">
        <w:rPr>
          <w:rFonts w:ascii="Times" w:eastAsia="Times" w:hAnsi="Times" w:cs="Times"/>
          <w:szCs w:val="24"/>
        </w:rPr>
        <w:t xml:space="preserve">. Across both units, </w:t>
      </w:r>
      <w:r>
        <w:rPr>
          <w:rFonts w:ascii="Times" w:eastAsia="Times" w:hAnsi="Times" w:cs="Times"/>
          <w:szCs w:val="24"/>
        </w:rPr>
        <w:t>victimization is positively correlated with sending ties but negatively correlated with receiving ties</w:t>
      </w:r>
      <w:r w:rsidRPr="72C49CF6">
        <w:rPr>
          <w:rFonts w:ascii="Times" w:eastAsia="Times" w:hAnsi="Times" w:cs="Times"/>
          <w:szCs w:val="24"/>
        </w:rPr>
        <w:t>. Survivors of victimization</w:t>
      </w:r>
      <w:r>
        <w:rPr>
          <w:rFonts w:ascii="Times" w:eastAsia="Times" w:hAnsi="Times" w:cs="Times"/>
          <w:szCs w:val="24"/>
        </w:rPr>
        <w:t xml:space="preserve"> </w:t>
      </w:r>
      <w:r w:rsidRPr="72C49CF6">
        <w:rPr>
          <w:rFonts w:ascii="Times" w:eastAsia="Times" w:hAnsi="Times" w:cs="Times"/>
          <w:szCs w:val="24"/>
        </w:rPr>
        <w:t xml:space="preserve">have </w:t>
      </w:r>
      <w:r>
        <w:rPr>
          <w:rFonts w:ascii="Times" w:eastAsia="Times" w:hAnsi="Times" w:cs="Times"/>
          <w:szCs w:val="24"/>
        </w:rPr>
        <w:t xml:space="preserve">a </w:t>
      </w:r>
      <w:r w:rsidRPr="72C49CF6">
        <w:rPr>
          <w:rFonts w:ascii="Times" w:eastAsia="Times" w:hAnsi="Times" w:cs="Times"/>
          <w:szCs w:val="24"/>
        </w:rPr>
        <w:t>31% (</w:t>
      </w:r>
      <w:proofErr w:type="gramStart"/>
      <w:r w:rsidRPr="72C49CF6">
        <w:rPr>
          <w:rFonts w:ascii="Times" w:eastAsia="Times" w:hAnsi="Times" w:cs="Times"/>
          <w:szCs w:val="24"/>
        </w:rPr>
        <w:t>exp(</w:t>
      </w:r>
      <w:proofErr w:type="gramEnd"/>
      <w:r w:rsidRPr="72C49CF6">
        <w:rPr>
          <w:rFonts w:ascii="Times" w:eastAsia="Times" w:hAnsi="Times" w:cs="Times"/>
          <w:szCs w:val="24"/>
        </w:rPr>
        <w:t xml:space="preserve">.269)) </w:t>
      </w:r>
      <w:r>
        <w:rPr>
          <w:rFonts w:ascii="Times" w:eastAsia="Times" w:hAnsi="Times" w:cs="Times"/>
          <w:szCs w:val="24"/>
        </w:rPr>
        <w:t xml:space="preserve">greater likelihood of sending a tie compared to others on the unit in Unit 2 </w:t>
      </w:r>
      <w:r w:rsidRPr="72C49CF6">
        <w:rPr>
          <w:rFonts w:ascii="Times" w:eastAsia="Times" w:hAnsi="Times" w:cs="Times"/>
          <w:szCs w:val="24"/>
        </w:rPr>
        <w:t xml:space="preserve">and a 48% (exp(.395)) greater likelihood of sending ties </w:t>
      </w:r>
      <w:r>
        <w:rPr>
          <w:rFonts w:ascii="Times" w:eastAsia="Times" w:hAnsi="Times" w:cs="Times"/>
          <w:szCs w:val="24"/>
        </w:rPr>
        <w:t>in Unit 3.</w:t>
      </w:r>
      <w:r w:rsidRPr="72C49CF6">
        <w:rPr>
          <w:rFonts w:ascii="Times" w:eastAsia="Times" w:hAnsi="Times" w:cs="Times"/>
          <w:szCs w:val="24"/>
        </w:rPr>
        <w:t xml:space="preserve"> </w:t>
      </w:r>
      <w:r>
        <w:rPr>
          <w:rFonts w:ascii="Times" w:eastAsia="Times" w:hAnsi="Times" w:cs="Times"/>
          <w:szCs w:val="24"/>
        </w:rPr>
        <w:t xml:space="preserve">The opposite pattern occurs for receiving ties, </w:t>
      </w:r>
      <w:r w:rsidRPr="72C49CF6">
        <w:rPr>
          <w:rFonts w:ascii="Times" w:eastAsia="Times" w:hAnsi="Times" w:cs="Times"/>
          <w:szCs w:val="24"/>
        </w:rPr>
        <w:t xml:space="preserve">though </w:t>
      </w:r>
      <w:r>
        <w:rPr>
          <w:rFonts w:ascii="Times" w:eastAsia="Times" w:hAnsi="Times" w:cs="Times"/>
          <w:szCs w:val="24"/>
        </w:rPr>
        <w:t>t</w:t>
      </w:r>
      <w:r w:rsidRPr="72C49CF6">
        <w:rPr>
          <w:rFonts w:ascii="Times" w:eastAsia="Times" w:hAnsi="Times" w:cs="Times"/>
          <w:szCs w:val="24"/>
        </w:rPr>
        <w:t xml:space="preserve">he association only </w:t>
      </w:r>
      <w:r>
        <w:rPr>
          <w:rFonts w:ascii="Times" w:eastAsia="Times" w:hAnsi="Times" w:cs="Times"/>
          <w:szCs w:val="24"/>
        </w:rPr>
        <w:t xml:space="preserve">reached </w:t>
      </w:r>
      <w:r w:rsidRPr="72C49CF6">
        <w:rPr>
          <w:rFonts w:ascii="Times" w:eastAsia="Times" w:hAnsi="Times" w:cs="Times"/>
          <w:szCs w:val="24"/>
        </w:rPr>
        <w:t>statistical significan</w:t>
      </w:r>
      <w:r>
        <w:rPr>
          <w:rFonts w:ascii="Times" w:eastAsia="Times" w:hAnsi="Times" w:cs="Times"/>
          <w:szCs w:val="24"/>
        </w:rPr>
        <w:t>ce</w:t>
      </w:r>
      <w:r w:rsidRPr="72C49CF6">
        <w:rPr>
          <w:rFonts w:ascii="Times" w:eastAsia="Times" w:hAnsi="Times" w:cs="Times"/>
          <w:szCs w:val="24"/>
        </w:rPr>
        <w:t xml:space="preserve"> in </w:t>
      </w:r>
      <w:r>
        <w:rPr>
          <w:rFonts w:ascii="Times" w:eastAsia="Times" w:hAnsi="Times" w:cs="Times"/>
          <w:szCs w:val="24"/>
        </w:rPr>
        <w:t>Unit 3</w:t>
      </w:r>
      <w:r w:rsidRPr="72C49CF6">
        <w:rPr>
          <w:rFonts w:ascii="Times" w:eastAsia="Times" w:hAnsi="Times" w:cs="Times"/>
          <w:szCs w:val="24"/>
        </w:rPr>
        <w:t xml:space="preserve">. </w:t>
      </w:r>
      <w:r>
        <w:rPr>
          <w:rFonts w:ascii="Times" w:eastAsia="Times" w:hAnsi="Times" w:cs="Times"/>
          <w:szCs w:val="24"/>
        </w:rPr>
        <w:t>In that unit, victims of childhood abuse were 46% (</w:t>
      </w:r>
      <w:proofErr w:type="gramStart"/>
      <w:r>
        <w:rPr>
          <w:rFonts w:ascii="Times" w:eastAsia="Times" w:hAnsi="Times" w:cs="Times"/>
          <w:szCs w:val="24"/>
        </w:rPr>
        <w:t>exp(</w:t>
      </w:r>
      <w:proofErr w:type="gramEnd"/>
      <w:r>
        <w:rPr>
          <w:rFonts w:ascii="Times" w:eastAsia="Times" w:hAnsi="Times" w:cs="Times"/>
          <w:szCs w:val="24"/>
        </w:rPr>
        <w:t>-.624)) less likely to receive a friendship tie.</w:t>
      </w:r>
    </w:p>
    <w:p w14:paraId="5FFF8214" w14:textId="77777777" w:rsidR="002B42F7" w:rsidRDefault="002B42F7" w:rsidP="002B42F7">
      <w:pPr>
        <w:ind w:firstLine="720"/>
        <w:rPr>
          <w:rFonts w:ascii="Times" w:eastAsia="Times" w:hAnsi="Times" w:cs="Times"/>
          <w:szCs w:val="24"/>
        </w:rPr>
      </w:pPr>
      <w:r w:rsidRPr="1254F758">
        <w:rPr>
          <w:rFonts w:ascii="Times" w:eastAsia="Times" w:hAnsi="Times" w:cs="Times"/>
          <w:szCs w:val="24"/>
        </w:rPr>
        <w:t xml:space="preserve">In both units, substance use appears positively associated with friendship tie formation. Senders and receivers reporting past substance use were both more likely to send and receive friendship ties, and ties were more likely to be sent between unit residents who both have substance use. While most of the coefficients for substance use are small in magnitude and statistically non-significant, there is a significant association between substance use and sending friendship ties in </w:t>
      </w:r>
      <w:r>
        <w:rPr>
          <w:rFonts w:ascii="Times" w:eastAsia="Times" w:hAnsi="Times" w:cs="Times"/>
          <w:szCs w:val="24"/>
        </w:rPr>
        <w:t>Unit 3</w:t>
      </w:r>
      <w:r w:rsidRPr="1254F758">
        <w:rPr>
          <w:rFonts w:ascii="Times" w:eastAsia="Times" w:hAnsi="Times" w:cs="Times"/>
          <w:szCs w:val="24"/>
        </w:rPr>
        <w:t xml:space="preserve"> that indicates individuals with past substance use were 45% (</w:t>
      </w:r>
      <w:proofErr w:type="gramStart"/>
      <w:r w:rsidRPr="1254F758">
        <w:rPr>
          <w:rFonts w:ascii="Times" w:eastAsia="Times" w:hAnsi="Times" w:cs="Times"/>
          <w:szCs w:val="24"/>
        </w:rPr>
        <w:t>exp(</w:t>
      </w:r>
      <w:proofErr w:type="gramEnd"/>
      <w:r w:rsidRPr="1254F758">
        <w:rPr>
          <w:rFonts w:ascii="Times" w:eastAsia="Times" w:hAnsi="Times" w:cs="Times"/>
          <w:szCs w:val="24"/>
        </w:rPr>
        <w:t xml:space="preserve">.376)) more likely to send a tie. </w:t>
      </w:r>
    </w:p>
    <w:p w14:paraId="682E25C2" w14:textId="77777777" w:rsidR="002B42F7" w:rsidRDefault="002B42F7" w:rsidP="002B42F7">
      <w:pPr>
        <w:ind w:firstLine="720"/>
        <w:rPr>
          <w:rFonts w:ascii="Times" w:eastAsia="Times" w:hAnsi="Times" w:cs="Times"/>
          <w:szCs w:val="24"/>
        </w:rPr>
      </w:pPr>
      <w:r w:rsidRPr="72C49CF6">
        <w:rPr>
          <w:rFonts w:ascii="Times" w:eastAsia="Times" w:hAnsi="Times" w:cs="Times"/>
          <w:szCs w:val="24"/>
        </w:rPr>
        <w:t xml:space="preserve">The relationship between mental health and friendship tie formation varies across both units. The mental health scale is coded so that higher scores indicate worse mental health. In </w:t>
      </w:r>
      <w:r>
        <w:rPr>
          <w:rFonts w:ascii="Times" w:eastAsia="Times" w:hAnsi="Times" w:cs="Times"/>
          <w:szCs w:val="24"/>
        </w:rPr>
        <w:t>Unit 2</w:t>
      </w:r>
      <w:r w:rsidRPr="72C49CF6">
        <w:rPr>
          <w:rFonts w:ascii="Times" w:eastAsia="Times" w:hAnsi="Times" w:cs="Times"/>
          <w:szCs w:val="24"/>
        </w:rPr>
        <w:t>, for each additional unit on the mental health scale, residents were 30% (</w:t>
      </w:r>
      <w:proofErr w:type="gramStart"/>
      <w:r w:rsidRPr="72C49CF6">
        <w:rPr>
          <w:rFonts w:ascii="Times" w:eastAsia="Times" w:hAnsi="Times" w:cs="Times"/>
          <w:szCs w:val="24"/>
        </w:rPr>
        <w:t>exp(</w:t>
      </w:r>
      <w:proofErr w:type="gramEnd"/>
      <w:r w:rsidRPr="72C49CF6">
        <w:rPr>
          <w:rFonts w:ascii="Times" w:eastAsia="Times" w:hAnsi="Times" w:cs="Times"/>
          <w:szCs w:val="24"/>
        </w:rPr>
        <w:t xml:space="preserve">.263)) more likely to send ties, so worse mental health was predictive of </w:t>
      </w:r>
      <w:r>
        <w:rPr>
          <w:rFonts w:ascii="Times" w:eastAsia="Times" w:hAnsi="Times" w:cs="Times"/>
          <w:szCs w:val="24"/>
        </w:rPr>
        <w:t xml:space="preserve">unit residents </w:t>
      </w:r>
      <w:r w:rsidRPr="72C49CF6">
        <w:rPr>
          <w:rFonts w:ascii="Times" w:eastAsia="Times" w:hAnsi="Times" w:cs="Times"/>
          <w:szCs w:val="24"/>
        </w:rPr>
        <w:t>sen</w:t>
      </w:r>
      <w:r>
        <w:rPr>
          <w:rFonts w:ascii="Times" w:eastAsia="Times" w:hAnsi="Times" w:cs="Times"/>
          <w:szCs w:val="24"/>
        </w:rPr>
        <w:t>ding</w:t>
      </w:r>
      <w:r w:rsidRPr="72C49CF6">
        <w:rPr>
          <w:rFonts w:ascii="Times" w:eastAsia="Times" w:hAnsi="Times" w:cs="Times"/>
          <w:szCs w:val="24"/>
        </w:rPr>
        <w:t xml:space="preserve"> </w:t>
      </w:r>
      <w:r>
        <w:rPr>
          <w:rFonts w:ascii="Times" w:eastAsia="Times" w:hAnsi="Times" w:cs="Times"/>
          <w:szCs w:val="24"/>
        </w:rPr>
        <w:t xml:space="preserve">friendship </w:t>
      </w:r>
      <w:r w:rsidRPr="72C49CF6">
        <w:rPr>
          <w:rFonts w:ascii="Times" w:eastAsia="Times" w:hAnsi="Times" w:cs="Times"/>
          <w:szCs w:val="24"/>
        </w:rPr>
        <w:t xml:space="preserve">ties. And the </w:t>
      </w:r>
      <w:r>
        <w:rPr>
          <w:rFonts w:ascii="Times" w:eastAsia="Times" w:hAnsi="Times" w:cs="Times"/>
          <w:szCs w:val="24"/>
        </w:rPr>
        <w:t xml:space="preserve">greater the difference in </w:t>
      </w:r>
      <w:r w:rsidRPr="72C49CF6">
        <w:rPr>
          <w:rFonts w:ascii="Times" w:eastAsia="Times" w:hAnsi="Times" w:cs="Times"/>
          <w:szCs w:val="24"/>
        </w:rPr>
        <w:t>two residents</w:t>
      </w:r>
      <w:r>
        <w:rPr>
          <w:rFonts w:ascii="Times" w:eastAsia="Times" w:hAnsi="Times" w:cs="Times"/>
          <w:szCs w:val="24"/>
        </w:rPr>
        <w:t>’ mental health scores</w:t>
      </w:r>
      <w:r w:rsidRPr="72C49CF6">
        <w:rPr>
          <w:rFonts w:ascii="Times" w:eastAsia="Times" w:hAnsi="Times" w:cs="Times"/>
          <w:szCs w:val="24"/>
        </w:rPr>
        <w:t xml:space="preserve">, the less likely they were to share a tie. In </w:t>
      </w:r>
      <w:r>
        <w:rPr>
          <w:rFonts w:ascii="Times" w:eastAsia="Times" w:hAnsi="Times" w:cs="Times"/>
          <w:szCs w:val="24"/>
        </w:rPr>
        <w:t>Unit 3</w:t>
      </w:r>
      <w:r w:rsidRPr="72C49CF6">
        <w:rPr>
          <w:rFonts w:ascii="Times" w:eastAsia="Times" w:hAnsi="Times" w:cs="Times"/>
          <w:szCs w:val="24"/>
        </w:rPr>
        <w:t xml:space="preserve">, none of the coefficients were statistically significant. The receiver effect was positive and similar in magnitude to that in the </w:t>
      </w:r>
      <w:r>
        <w:rPr>
          <w:rFonts w:ascii="Times" w:eastAsia="Times" w:hAnsi="Times" w:cs="Times"/>
          <w:szCs w:val="24"/>
        </w:rPr>
        <w:t>Unit 2</w:t>
      </w:r>
      <w:r w:rsidRPr="72C49CF6">
        <w:rPr>
          <w:rFonts w:ascii="Times" w:eastAsia="Times" w:hAnsi="Times" w:cs="Times"/>
          <w:szCs w:val="24"/>
        </w:rPr>
        <w:t xml:space="preserve"> unit. </w:t>
      </w:r>
    </w:p>
    <w:p w14:paraId="4D6B8447" w14:textId="77777777" w:rsidR="002B42F7" w:rsidRDefault="002B42F7" w:rsidP="002B42F7">
      <w:pPr>
        <w:ind w:firstLine="720"/>
        <w:rPr>
          <w:rFonts w:ascii="Times" w:eastAsia="Times" w:hAnsi="Times" w:cs="Times"/>
          <w:szCs w:val="24"/>
        </w:rPr>
      </w:pPr>
      <w:r w:rsidRPr="1254F758">
        <w:rPr>
          <w:rFonts w:ascii="Times" w:eastAsia="Times" w:hAnsi="Times" w:cs="Times"/>
          <w:szCs w:val="24"/>
        </w:rPr>
        <w:t xml:space="preserve">Residents of both units were more likely to be friends with others in the same racial categories, and white residents in both units were less likely to send or receive ties. The longer an individual has lived on the unit, the more likely they are to receive ties. The greater the difference in time on unit, the less likely two individuals are to share a friendship tie. Individuals with greater offense gravity scores were more likely to send ties and less likely to receive ties. Residents with a greater age difference were less likely to share a tie. In </w:t>
      </w:r>
      <w:r>
        <w:rPr>
          <w:rFonts w:ascii="Times" w:eastAsia="Times" w:hAnsi="Times" w:cs="Times"/>
          <w:szCs w:val="24"/>
        </w:rPr>
        <w:t>Unit 2</w:t>
      </w:r>
      <w:r w:rsidRPr="1254F758">
        <w:rPr>
          <w:rFonts w:ascii="Times" w:eastAsia="Times" w:hAnsi="Times" w:cs="Times"/>
          <w:szCs w:val="24"/>
        </w:rPr>
        <w:t xml:space="preserve">, residents with a high school diploma were more likely to send ties and less likely to receive them while the opposite was true in </w:t>
      </w:r>
      <w:r>
        <w:rPr>
          <w:rFonts w:ascii="Times" w:eastAsia="Times" w:hAnsi="Times" w:cs="Times"/>
          <w:szCs w:val="24"/>
        </w:rPr>
        <w:t>Unit 3</w:t>
      </w:r>
      <w:r w:rsidRPr="1254F758">
        <w:rPr>
          <w:rFonts w:ascii="Times" w:eastAsia="Times" w:hAnsi="Times" w:cs="Times"/>
          <w:szCs w:val="24"/>
        </w:rPr>
        <w:t xml:space="preserve">. The positive estimate for mutuality suggests ties were more likely to be reciprocated than expected by chance, which would imply that friendship was more commonly reciprocated than not. The negative estimate of the </w:t>
      </w:r>
      <w:proofErr w:type="spellStart"/>
      <w:r w:rsidRPr="1254F758">
        <w:rPr>
          <w:rFonts w:ascii="Times" w:eastAsia="Times" w:hAnsi="Times" w:cs="Times"/>
          <w:szCs w:val="24"/>
        </w:rPr>
        <w:t>gwidegree</w:t>
      </w:r>
      <w:proofErr w:type="spellEnd"/>
      <w:r w:rsidRPr="1254F758">
        <w:rPr>
          <w:rFonts w:ascii="Times" w:eastAsia="Times" w:hAnsi="Times" w:cs="Times"/>
          <w:szCs w:val="24"/>
        </w:rPr>
        <w:t xml:space="preserve"> and </w:t>
      </w:r>
      <w:proofErr w:type="spellStart"/>
      <w:r w:rsidRPr="1254F758">
        <w:rPr>
          <w:rFonts w:ascii="Times" w:eastAsia="Times" w:hAnsi="Times" w:cs="Times"/>
          <w:szCs w:val="24"/>
        </w:rPr>
        <w:t>gwodegree</w:t>
      </w:r>
      <w:proofErr w:type="spellEnd"/>
      <w:r w:rsidRPr="1254F758">
        <w:rPr>
          <w:rFonts w:ascii="Times" w:eastAsia="Times" w:hAnsi="Times" w:cs="Times"/>
          <w:szCs w:val="24"/>
        </w:rPr>
        <w:t xml:space="preserve"> effect controls for the skewed nature of the in and out degree distributions.</w:t>
      </w:r>
    </w:p>
    <w:p w14:paraId="77558972" w14:textId="30BE7AD9" w:rsidR="000A0F0F" w:rsidRDefault="002B42F7" w:rsidP="002B42F7">
      <w:pPr>
        <w:ind w:firstLine="720"/>
        <w:rPr>
          <w:rFonts w:ascii="Times" w:eastAsia="Times" w:hAnsi="Times" w:cs="Times"/>
          <w:szCs w:val="24"/>
        </w:rPr>
      </w:pPr>
      <w:r w:rsidRPr="000A0F0F">
        <w:rPr>
          <w:rFonts w:ascii="Times" w:eastAsia="Times" w:hAnsi="Times" w:cs="Times"/>
          <w:szCs w:val="24"/>
        </w:rPr>
        <w:t>To summarize, using social network analytic methods, we examined how known correlates of women’s imprisonment relate to informal prison social organization. Mental illness, addiction, and victimization are experiences that may both increase women’s risk of incarceration and marginalize them in prison through withdrawal or exclusion processes (Schaefer, et al. 2011; Van Zalk et al., 2010; Perry, 2013). However, if such experiences are highly prevalent in a community, they may compel connection and solidarity among those experiencing similar deprivations. And in fact, instead of causing withdrawal from the networks in question, these experiences predicted participants sending more ties to peers, though they were not necessarily reciprocated.</w:t>
      </w:r>
    </w:p>
    <w:tbl>
      <w:tblPr>
        <w:tblW w:w="7950" w:type="dxa"/>
        <w:tblLook w:val="04A0" w:firstRow="1" w:lastRow="0" w:firstColumn="1" w:lastColumn="0" w:noHBand="0" w:noVBand="1"/>
      </w:tblPr>
      <w:tblGrid>
        <w:gridCol w:w="3138"/>
        <w:gridCol w:w="2405"/>
        <w:gridCol w:w="2407"/>
      </w:tblGrid>
      <w:tr w:rsidR="00F66C7C" w:rsidRPr="00FF40EA" w14:paraId="41A420D3" w14:textId="77777777" w:rsidTr="00E5508D">
        <w:trPr>
          <w:trHeight w:val="255"/>
        </w:trPr>
        <w:tc>
          <w:tcPr>
            <w:tcW w:w="7950" w:type="dxa"/>
            <w:gridSpan w:val="3"/>
            <w:tcBorders>
              <w:top w:val="nil"/>
              <w:left w:val="nil"/>
              <w:bottom w:val="single" w:sz="4" w:space="0" w:color="auto"/>
              <w:right w:val="nil"/>
            </w:tcBorders>
            <w:shd w:val="clear" w:color="000000" w:fill="FFFFFF"/>
            <w:noWrap/>
            <w:vAlign w:val="bottom"/>
            <w:hideMark/>
          </w:tcPr>
          <w:p w14:paraId="30FBA98C" w14:textId="6BC7A3EC" w:rsidR="00F66C7C" w:rsidRPr="00FF40EA" w:rsidRDefault="00F66C7C" w:rsidP="00E5508D">
            <w:pPr>
              <w:spacing w:line="240" w:lineRule="auto"/>
              <w:rPr>
                <w:rFonts w:eastAsia="Times New Roman" w:cs="Times New Roman"/>
                <w:b/>
                <w:bCs/>
                <w:color w:val="000000"/>
                <w:szCs w:val="24"/>
              </w:rPr>
            </w:pPr>
            <w:r w:rsidRPr="00FF40EA">
              <w:rPr>
                <w:rFonts w:eastAsia="Times New Roman" w:cs="Times New Roman"/>
                <w:b/>
                <w:bCs/>
                <w:color w:val="000000"/>
                <w:szCs w:val="24"/>
              </w:rPr>
              <w:t>T</w:t>
            </w:r>
            <w:r w:rsidR="00303F56">
              <w:rPr>
                <w:rFonts w:eastAsia="Times New Roman" w:cs="Times New Roman"/>
                <w:b/>
                <w:bCs/>
                <w:color w:val="000000"/>
                <w:szCs w:val="24"/>
              </w:rPr>
              <w:t>able</w:t>
            </w:r>
            <w:r w:rsidRPr="00FF40EA">
              <w:rPr>
                <w:rFonts w:eastAsia="Times New Roman" w:cs="Times New Roman"/>
                <w:b/>
                <w:bCs/>
                <w:color w:val="000000"/>
                <w:szCs w:val="24"/>
              </w:rPr>
              <w:t xml:space="preserve"> </w:t>
            </w:r>
            <w:r w:rsidR="00303F56">
              <w:rPr>
                <w:rFonts w:eastAsia="Times New Roman" w:cs="Times New Roman"/>
                <w:b/>
                <w:bCs/>
                <w:color w:val="000000"/>
                <w:szCs w:val="24"/>
              </w:rPr>
              <w:t>9.</w:t>
            </w:r>
            <w:r w:rsidRPr="00FF40EA">
              <w:rPr>
                <w:rFonts w:eastAsia="Times New Roman" w:cs="Times New Roman"/>
                <w:b/>
                <w:bCs/>
                <w:color w:val="000000"/>
                <w:szCs w:val="24"/>
              </w:rPr>
              <w:t xml:space="preserve"> </w:t>
            </w:r>
            <w:r w:rsidR="00303F56">
              <w:rPr>
                <w:rFonts w:eastAsia="Times New Roman" w:cs="Times New Roman"/>
                <w:b/>
                <w:bCs/>
                <w:color w:val="000000"/>
                <w:szCs w:val="24"/>
              </w:rPr>
              <w:t xml:space="preserve">Friendship Network </w:t>
            </w:r>
            <w:r w:rsidRPr="00FF40EA">
              <w:rPr>
                <w:rFonts w:eastAsia="Times New Roman" w:cs="Times New Roman"/>
                <w:b/>
                <w:bCs/>
                <w:color w:val="000000"/>
                <w:szCs w:val="24"/>
              </w:rPr>
              <w:t>Exponential Random Graph Model</w:t>
            </w:r>
            <w:r w:rsidR="00303F56">
              <w:rPr>
                <w:rFonts w:eastAsia="Times New Roman" w:cs="Times New Roman"/>
                <w:b/>
                <w:bCs/>
                <w:color w:val="000000"/>
                <w:szCs w:val="24"/>
              </w:rPr>
              <w:t>s</w:t>
            </w:r>
          </w:p>
        </w:tc>
      </w:tr>
      <w:tr w:rsidR="00F66C7C" w:rsidRPr="00FF40EA" w14:paraId="09E72055" w14:textId="77777777" w:rsidTr="00E5508D">
        <w:trPr>
          <w:trHeight w:val="329"/>
        </w:trPr>
        <w:tc>
          <w:tcPr>
            <w:tcW w:w="3138" w:type="dxa"/>
            <w:tcBorders>
              <w:top w:val="nil"/>
              <w:left w:val="nil"/>
              <w:bottom w:val="nil"/>
              <w:right w:val="nil"/>
            </w:tcBorders>
            <w:shd w:val="clear" w:color="000000" w:fill="FFFFFF"/>
            <w:noWrap/>
            <w:vAlign w:val="bottom"/>
            <w:hideMark/>
          </w:tcPr>
          <w:p w14:paraId="508C04A2" w14:textId="77777777" w:rsidR="00F66C7C" w:rsidRPr="00FF40EA" w:rsidRDefault="00F66C7C" w:rsidP="00E5508D">
            <w:pPr>
              <w:spacing w:line="240" w:lineRule="auto"/>
              <w:rPr>
                <w:rFonts w:eastAsia="Times New Roman" w:cs="Times New Roman"/>
                <w:color w:val="000000"/>
                <w:szCs w:val="24"/>
              </w:rPr>
            </w:pPr>
            <w:r w:rsidRPr="00FF40EA">
              <w:rPr>
                <w:rFonts w:eastAsia="Times New Roman" w:cs="Times New Roman"/>
                <w:color w:val="000000"/>
                <w:szCs w:val="24"/>
              </w:rPr>
              <w:t> </w:t>
            </w:r>
          </w:p>
        </w:tc>
        <w:tc>
          <w:tcPr>
            <w:tcW w:w="2405" w:type="dxa"/>
            <w:tcBorders>
              <w:top w:val="nil"/>
              <w:left w:val="nil"/>
              <w:bottom w:val="single" w:sz="4" w:space="0" w:color="auto"/>
              <w:right w:val="nil"/>
            </w:tcBorders>
            <w:shd w:val="clear" w:color="000000" w:fill="FFFFFF"/>
            <w:noWrap/>
            <w:vAlign w:val="bottom"/>
            <w:hideMark/>
          </w:tcPr>
          <w:p w14:paraId="269AADB8" w14:textId="6FD46071" w:rsidR="00F66C7C" w:rsidRPr="00FF40EA" w:rsidRDefault="00303F56" w:rsidP="00E5508D">
            <w:pPr>
              <w:spacing w:line="240" w:lineRule="auto"/>
              <w:jc w:val="center"/>
              <w:rPr>
                <w:rFonts w:eastAsia="Times New Roman" w:cs="Times New Roman"/>
                <w:b/>
                <w:bCs/>
                <w:color w:val="000000"/>
                <w:szCs w:val="24"/>
              </w:rPr>
            </w:pPr>
            <w:r>
              <w:rPr>
                <w:rFonts w:eastAsia="Times New Roman" w:cs="Times New Roman"/>
                <w:b/>
                <w:bCs/>
                <w:color w:val="000000"/>
                <w:szCs w:val="24"/>
              </w:rPr>
              <w:t>Unit 2</w:t>
            </w:r>
          </w:p>
        </w:tc>
        <w:tc>
          <w:tcPr>
            <w:tcW w:w="2407" w:type="dxa"/>
            <w:tcBorders>
              <w:top w:val="nil"/>
              <w:left w:val="nil"/>
              <w:bottom w:val="single" w:sz="4" w:space="0" w:color="auto"/>
              <w:right w:val="nil"/>
            </w:tcBorders>
            <w:shd w:val="clear" w:color="000000" w:fill="FFFFFF"/>
            <w:noWrap/>
            <w:vAlign w:val="bottom"/>
            <w:hideMark/>
          </w:tcPr>
          <w:p w14:paraId="170730C8" w14:textId="356BA0FD" w:rsidR="00F66C7C" w:rsidRPr="00FF40EA" w:rsidRDefault="00303F56" w:rsidP="00E5508D">
            <w:pPr>
              <w:spacing w:line="240" w:lineRule="auto"/>
              <w:jc w:val="center"/>
              <w:rPr>
                <w:rFonts w:eastAsia="Times New Roman" w:cs="Times New Roman"/>
                <w:b/>
                <w:bCs/>
                <w:color w:val="000000"/>
                <w:szCs w:val="24"/>
              </w:rPr>
            </w:pPr>
            <w:r>
              <w:rPr>
                <w:rFonts w:eastAsia="Times New Roman" w:cs="Times New Roman"/>
                <w:b/>
                <w:bCs/>
                <w:color w:val="000000"/>
                <w:szCs w:val="24"/>
              </w:rPr>
              <w:t>Unit 3</w:t>
            </w:r>
          </w:p>
        </w:tc>
      </w:tr>
      <w:tr w:rsidR="00F66C7C" w:rsidRPr="00FF40EA" w14:paraId="6AC3281E" w14:textId="77777777" w:rsidTr="00E5508D">
        <w:trPr>
          <w:trHeight w:val="365"/>
        </w:trPr>
        <w:tc>
          <w:tcPr>
            <w:tcW w:w="3138" w:type="dxa"/>
            <w:tcBorders>
              <w:top w:val="nil"/>
              <w:left w:val="nil"/>
              <w:bottom w:val="single" w:sz="4" w:space="0" w:color="auto"/>
              <w:right w:val="nil"/>
            </w:tcBorders>
            <w:shd w:val="clear" w:color="000000" w:fill="FFFFFF"/>
            <w:noWrap/>
            <w:vAlign w:val="center"/>
            <w:hideMark/>
          </w:tcPr>
          <w:p w14:paraId="02D00EC9" w14:textId="77777777" w:rsidR="00F66C7C" w:rsidRPr="00FF40EA" w:rsidRDefault="00F66C7C" w:rsidP="00E5508D">
            <w:pPr>
              <w:spacing w:line="240" w:lineRule="auto"/>
              <w:rPr>
                <w:rFonts w:eastAsia="Times New Roman" w:cs="Times New Roman"/>
                <w:color w:val="000000"/>
                <w:szCs w:val="24"/>
              </w:rPr>
            </w:pPr>
            <w:r w:rsidRPr="00FF40EA">
              <w:rPr>
                <w:rFonts w:eastAsia="Times New Roman" w:cs="Times New Roman"/>
                <w:color w:val="000000"/>
                <w:szCs w:val="24"/>
              </w:rPr>
              <w:t> </w:t>
            </w:r>
          </w:p>
        </w:tc>
        <w:tc>
          <w:tcPr>
            <w:tcW w:w="2405" w:type="dxa"/>
            <w:tcBorders>
              <w:top w:val="nil"/>
              <w:left w:val="nil"/>
              <w:bottom w:val="single" w:sz="4" w:space="0" w:color="auto"/>
              <w:right w:val="nil"/>
            </w:tcBorders>
            <w:shd w:val="clear" w:color="000000" w:fill="FFFFFF"/>
            <w:noWrap/>
            <w:vAlign w:val="center"/>
            <w:hideMark/>
          </w:tcPr>
          <w:p w14:paraId="02D3E773" w14:textId="77777777" w:rsidR="00F66C7C" w:rsidRPr="00FF40EA" w:rsidRDefault="00F66C7C" w:rsidP="00E5508D">
            <w:pPr>
              <w:spacing w:line="240" w:lineRule="auto"/>
              <w:jc w:val="center"/>
              <w:rPr>
                <w:rFonts w:eastAsia="Times New Roman" w:cs="Times New Roman"/>
                <w:color w:val="000000"/>
                <w:szCs w:val="24"/>
              </w:rPr>
            </w:pPr>
            <w:r w:rsidRPr="00FF40EA">
              <w:rPr>
                <w:rFonts w:eastAsia="Times New Roman" w:cs="Times New Roman"/>
                <w:i/>
                <w:iCs/>
                <w:color w:val="000000"/>
                <w:szCs w:val="24"/>
              </w:rPr>
              <w:t>b</w:t>
            </w:r>
            <w:r w:rsidRPr="00FF40EA">
              <w:rPr>
                <w:rFonts w:eastAsia="Times New Roman" w:cs="Times New Roman"/>
                <w:color w:val="000000"/>
                <w:szCs w:val="24"/>
              </w:rPr>
              <w:t xml:space="preserve"> (SE)</w:t>
            </w:r>
          </w:p>
        </w:tc>
        <w:tc>
          <w:tcPr>
            <w:tcW w:w="2407" w:type="dxa"/>
            <w:tcBorders>
              <w:top w:val="nil"/>
              <w:left w:val="nil"/>
              <w:bottom w:val="single" w:sz="4" w:space="0" w:color="auto"/>
              <w:right w:val="nil"/>
            </w:tcBorders>
            <w:shd w:val="clear" w:color="000000" w:fill="FFFFFF"/>
            <w:noWrap/>
            <w:vAlign w:val="center"/>
            <w:hideMark/>
          </w:tcPr>
          <w:p w14:paraId="1662E3A0" w14:textId="77777777" w:rsidR="00F66C7C" w:rsidRPr="00FF40EA" w:rsidRDefault="00F66C7C" w:rsidP="00E5508D">
            <w:pPr>
              <w:spacing w:line="240" w:lineRule="auto"/>
              <w:jc w:val="center"/>
              <w:rPr>
                <w:rFonts w:eastAsia="Times New Roman" w:cs="Times New Roman"/>
                <w:color w:val="000000"/>
                <w:szCs w:val="24"/>
              </w:rPr>
            </w:pPr>
            <w:r w:rsidRPr="00FF40EA">
              <w:rPr>
                <w:rFonts w:eastAsia="Times New Roman" w:cs="Times New Roman"/>
                <w:i/>
                <w:iCs/>
                <w:color w:val="000000"/>
                <w:szCs w:val="24"/>
              </w:rPr>
              <w:t xml:space="preserve">b </w:t>
            </w:r>
            <w:r w:rsidRPr="00FF40EA">
              <w:rPr>
                <w:rFonts w:eastAsia="Times New Roman" w:cs="Times New Roman"/>
                <w:color w:val="000000"/>
                <w:szCs w:val="24"/>
              </w:rPr>
              <w:t>(SE)</w:t>
            </w:r>
          </w:p>
        </w:tc>
      </w:tr>
      <w:tr w:rsidR="00F66C7C" w:rsidRPr="00FF40EA" w14:paraId="715FCDD8" w14:textId="77777777" w:rsidTr="00E5508D">
        <w:trPr>
          <w:trHeight w:val="255"/>
        </w:trPr>
        <w:tc>
          <w:tcPr>
            <w:tcW w:w="3138" w:type="dxa"/>
            <w:tcBorders>
              <w:top w:val="nil"/>
              <w:left w:val="nil"/>
              <w:bottom w:val="nil"/>
              <w:right w:val="nil"/>
            </w:tcBorders>
            <w:shd w:val="clear" w:color="000000" w:fill="FFFFFF"/>
            <w:noWrap/>
            <w:vAlign w:val="bottom"/>
            <w:hideMark/>
          </w:tcPr>
          <w:p w14:paraId="5BE6E58D" w14:textId="77777777"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Structural</w:t>
            </w:r>
          </w:p>
        </w:tc>
        <w:tc>
          <w:tcPr>
            <w:tcW w:w="2405" w:type="dxa"/>
            <w:tcBorders>
              <w:top w:val="nil"/>
              <w:left w:val="nil"/>
              <w:bottom w:val="nil"/>
              <w:right w:val="nil"/>
            </w:tcBorders>
            <w:shd w:val="clear" w:color="000000" w:fill="FFFFFF"/>
            <w:noWrap/>
            <w:vAlign w:val="bottom"/>
            <w:hideMark/>
          </w:tcPr>
          <w:p w14:paraId="44013401" w14:textId="73EA8894" w:rsidR="00F66C7C" w:rsidRPr="00FF40EA" w:rsidRDefault="00F66C7C" w:rsidP="00E5508D">
            <w:pPr>
              <w:spacing w:line="240" w:lineRule="auto"/>
              <w:rPr>
                <w:rFonts w:eastAsia="Times New Roman" w:cs="Times New Roman"/>
                <w:color w:val="000000"/>
                <w:szCs w:val="24"/>
              </w:rPr>
            </w:pPr>
          </w:p>
        </w:tc>
        <w:tc>
          <w:tcPr>
            <w:tcW w:w="2407" w:type="dxa"/>
            <w:tcBorders>
              <w:top w:val="nil"/>
              <w:left w:val="nil"/>
              <w:bottom w:val="nil"/>
              <w:right w:val="nil"/>
            </w:tcBorders>
            <w:shd w:val="clear" w:color="000000" w:fill="FFFFFF"/>
            <w:noWrap/>
            <w:vAlign w:val="bottom"/>
            <w:hideMark/>
          </w:tcPr>
          <w:p w14:paraId="7D34E5C6" w14:textId="6729AEBD" w:rsidR="00F66C7C" w:rsidRPr="00FF40EA" w:rsidRDefault="00F66C7C" w:rsidP="00E5508D">
            <w:pPr>
              <w:spacing w:line="240" w:lineRule="auto"/>
              <w:rPr>
                <w:rFonts w:eastAsia="Times New Roman" w:cs="Times New Roman"/>
                <w:color w:val="000000"/>
                <w:szCs w:val="24"/>
              </w:rPr>
            </w:pPr>
          </w:p>
        </w:tc>
      </w:tr>
      <w:tr w:rsidR="00F66C7C" w:rsidRPr="00FF40EA" w14:paraId="5037A046" w14:textId="77777777" w:rsidTr="00E5508D">
        <w:trPr>
          <w:trHeight w:val="255"/>
        </w:trPr>
        <w:tc>
          <w:tcPr>
            <w:tcW w:w="3138" w:type="dxa"/>
            <w:tcBorders>
              <w:top w:val="nil"/>
              <w:left w:val="nil"/>
              <w:bottom w:val="nil"/>
              <w:right w:val="nil"/>
            </w:tcBorders>
            <w:shd w:val="clear" w:color="000000" w:fill="FFFFFF"/>
            <w:noWrap/>
            <w:vAlign w:val="bottom"/>
            <w:hideMark/>
          </w:tcPr>
          <w:p w14:paraId="0368CD7C"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Edges</w:t>
            </w:r>
          </w:p>
        </w:tc>
        <w:tc>
          <w:tcPr>
            <w:tcW w:w="2405" w:type="dxa"/>
            <w:tcBorders>
              <w:top w:val="nil"/>
              <w:left w:val="nil"/>
              <w:bottom w:val="nil"/>
              <w:right w:val="nil"/>
            </w:tcBorders>
            <w:shd w:val="clear" w:color="000000" w:fill="FFFFFF"/>
            <w:noWrap/>
            <w:vAlign w:val="bottom"/>
            <w:hideMark/>
          </w:tcPr>
          <w:p w14:paraId="669FC4D1" w14:textId="31F7FDC5"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-4.086***</w:t>
            </w:r>
            <w:proofErr w:type="gramStart"/>
            <w:r w:rsidR="009C71F4">
              <w:rPr>
                <w:rFonts w:eastAsia="Times New Roman" w:cs="Times New Roman"/>
                <w:color w:val="000000"/>
                <w:sz w:val="22"/>
              </w:rPr>
              <w:t xml:space="preserve">  </w:t>
            </w:r>
            <w:r w:rsidRPr="00C20C2C">
              <w:rPr>
                <w:rFonts w:eastAsia="Times New Roman" w:cs="Times New Roman"/>
                <w:color w:val="000000"/>
                <w:sz w:val="22"/>
              </w:rPr>
              <w:t xml:space="preserve"> (</w:t>
            </w:r>
            <w:proofErr w:type="gramEnd"/>
            <w:r w:rsidRPr="00C20C2C">
              <w:rPr>
                <w:rFonts w:eastAsia="Times New Roman" w:cs="Times New Roman"/>
                <w:color w:val="000000"/>
                <w:sz w:val="22"/>
              </w:rPr>
              <w:t>0.575)</w:t>
            </w:r>
          </w:p>
        </w:tc>
        <w:tc>
          <w:tcPr>
            <w:tcW w:w="2407" w:type="dxa"/>
            <w:tcBorders>
              <w:top w:val="nil"/>
              <w:left w:val="nil"/>
              <w:bottom w:val="nil"/>
              <w:right w:val="nil"/>
            </w:tcBorders>
            <w:shd w:val="clear" w:color="000000" w:fill="FFFFFF"/>
            <w:noWrap/>
            <w:vAlign w:val="bottom"/>
            <w:hideMark/>
          </w:tcPr>
          <w:p w14:paraId="1A4E7DAA" w14:textId="5B636EBD"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-3.949*** (0.551)</w:t>
            </w:r>
          </w:p>
        </w:tc>
      </w:tr>
      <w:tr w:rsidR="00F66C7C" w:rsidRPr="00FF40EA" w14:paraId="78D8E097" w14:textId="77777777" w:rsidTr="00E5508D">
        <w:trPr>
          <w:trHeight w:val="255"/>
        </w:trPr>
        <w:tc>
          <w:tcPr>
            <w:tcW w:w="3138" w:type="dxa"/>
            <w:tcBorders>
              <w:top w:val="nil"/>
              <w:left w:val="nil"/>
              <w:bottom w:val="nil"/>
              <w:right w:val="nil"/>
            </w:tcBorders>
            <w:shd w:val="clear" w:color="000000" w:fill="FFFFFF"/>
            <w:noWrap/>
            <w:vAlign w:val="bottom"/>
            <w:hideMark/>
          </w:tcPr>
          <w:p w14:paraId="010C7C25"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Mutuality</w:t>
            </w:r>
          </w:p>
        </w:tc>
        <w:tc>
          <w:tcPr>
            <w:tcW w:w="2405" w:type="dxa"/>
            <w:tcBorders>
              <w:top w:val="nil"/>
              <w:left w:val="nil"/>
              <w:bottom w:val="nil"/>
              <w:right w:val="nil"/>
            </w:tcBorders>
            <w:shd w:val="clear" w:color="000000" w:fill="FFFFFF"/>
            <w:noWrap/>
            <w:vAlign w:val="bottom"/>
            <w:hideMark/>
          </w:tcPr>
          <w:p w14:paraId="57033B55" w14:textId="7AD191C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1.986***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0.196)</w:t>
            </w:r>
          </w:p>
        </w:tc>
        <w:tc>
          <w:tcPr>
            <w:tcW w:w="2407" w:type="dxa"/>
            <w:tcBorders>
              <w:top w:val="nil"/>
              <w:left w:val="nil"/>
              <w:bottom w:val="nil"/>
              <w:right w:val="nil"/>
            </w:tcBorders>
            <w:shd w:val="clear" w:color="000000" w:fill="FFFFFF"/>
            <w:noWrap/>
            <w:vAlign w:val="bottom"/>
            <w:hideMark/>
          </w:tcPr>
          <w:p w14:paraId="320805F2" w14:textId="20AA6811"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2.593**</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0.237)</w:t>
            </w:r>
          </w:p>
        </w:tc>
      </w:tr>
      <w:tr w:rsidR="00F66C7C" w:rsidRPr="00FF40EA" w14:paraId="6BA64A6A" w14:textId="77777777" w:rsidTr="00E5508D">
        <w:trPr>
          <w:trHeight w:val="255"/>
        </w:trPr>
        <w:tc>
          <w:tcPr>
            <w:tcW w:w="3138" w:type="dxa"/>
            <w:tcBorders>
              <w:top w:val="nil"/>
              <w:left w:val="nil"/>
              <w:bottom w:val="nil"/>
              <w:right w:val="nil"/>
            </w:tcBorders>
            <w:shd w:val="clear" w:color="000000" w:fill="FFFFFF"/>
            <w:noWrap/>
            <w:vAlign w:val="bottom"/>
            <w:hideMark/>
          </w:tcPr>
          <w:p w14:paraId="332CEC3B" w14:textId="5C015C8C" w:rsidR="00F66C7C" w:rsidRPr="00FF40EA" w:rsidRDefault="00237A0F" w:rsidP="00303F56">
            <w:pPr>
              <w:spacing w:line="240" w:lineRule="auto"/>
              <w:rPr>
                <w:rFonts w:eastAsia="Times New Roman" w:cs="Times New Roman"/>
                <w:color w:val="000000"/>
                <w:szCs w:val="24"/>
              </w:rPr>
            </w:pPr>
            <w:proofErr w:type="spellStart"/>
            <w:r w:rsidRPr="00FF40EA">
              <w:rPr>
                <w:rFonts w:eastAsia="Times New Roman" w:cs="Times New Roman"/>
                <w:color w:val="000000"/>
                <w:szCs w:val="24"/>
              </w:rPr>
              <w:t>G</w:t>
            </w:r>
            <w:r w:rsidR="00F66C7C" w:rsidRPr="00FF40EA">
              <w:rPr>
                <w:rFonts w:eastAsia="Times New Roman" w:cs="Times New Roman"/>
                <w:color w:val="000000"/>
                <w:szCs w:val="24"/>
              </w:rPr>
              <w:t>widegree</w:t>
            </w:r>
            <w:proofErr w:type="spellEnd"/>
          </w:p>
        </w:tc>
        <w:tc>
          <w:tcPr>
            <w:tcW w:w="2405" w:type="dxa"/>
            <w:tcBorders>
              <w:top w:val="nil"/>
              <w:left w:val="nil"/>
              <w:bottom w:val="nil"/>
              <w:right w:val="nil"/>
            </w:tcBorders>
            <w:shd w:val="clear" w:color="000000" w:fill="FFFFFF"/>
            <w:noWrap/>
            <w:vAlign w:val="bottom"/>
            <w:hideMark/>
          </w:tcPr>
          <w:p w14:paraId="5D6F5226" w14:textId="776B2798"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-2.707***</w:t>
            </w:r>
            <w:proofErr w:type="gramStart"/>
            <w:r w:rsidRPr="00C20C2C">
              <w:rPr>
                <w:rFonts w:eastAsia="Times New Roman" w:cs="Times New Roman"/>
                <w:color w:val="000000"/>
                <w:sz w:val="22"/>
              </w:rPr>
              <w:t xml:space="preserve"> </w:t>
            </w:r>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0.908)</w:t>
            </w:r>
          </w:p>
        </w:tc>
        <w:tc>
          <w:tcPr>
            <w:tcW w:w="2407" w:type="dxa"/>
            <w:tcBorders>
              <w:top w:val="nil"/>
              <w:left w:val="nil"/>
              <w:bottom w:val="nil"/>
              <w:right w:val="nil"/>
            </w:tcBorders>
            <w:shd w:val="clear" w:color="000000" w:fill="FFFFFF"/>
            <w:noWrap/>
            <w:vAlign w:val="bottom"/>
            <w:hideMark/>
          </w:tcPr>
          <w:p w14:paraId="12AF56EC" w14:textId="7777777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-3.173*** (0.558)</w:t>
            </w:r>
          </w:p>
        </w:tc>
      </w:tr>
      <w:tr w:rsidR="00F66C7C" w:rsidRPr="00FF40EA" w14:paraId="3310AFF3" w14:textId="77777777" w:rsidTr="00E5508D">
        <w:trPr>
          <w:trHeight w:val="255"/>
        </w:trPr>
        <w:tc>
          <w:tcPr>
            <w:tcW w:w="3138" w:type="dxa"/>
            <w:tcBorders>
              <w:top w:val="nil"/>
              <w:left w:val="nil"/>
              <w:bottom w:val="nil"/>
              <w:right w:val="nil"/>
            </w:tcBorders>
            <w:shd w:val="clear" w:color="000000" w:fill="FFFFFF"/>
            <w:noWrap/>
            <w:vAlign w:val="bottom"/>
            <w:hideMark/>
          </w:tcPr>
          <w:p w14:paraId="6581A490" w14:textId="623C72C7" w:rsidR="00F66C7C" w:rsidRPr="00FF40EA" w:rsidRDefault="00237A0F" w:rsidP="00303F56">
            <w:pPr>
              <w:spacing w:line="240" w:lineRule="auto"/>
              <w:rPr>
                <w:rFonts w:eastAsia="Times New Roman" w:cs="Times New Roman"/>
                <w:color w:val="000000"/>
                <w:szCs w:val="24"/>
              </w:rPr>
            </w:pPr>
            <w:proofErr w:type="spellStart"/>
            <w:r w:rsidRPr="00FF40EA">
              <w:rPr>
                <w:rFonts w:eastAsia="Times New Roman" w:cs="Times New Roman"/>
                <w:color w:val="000000"/>
                <w:szCs w:val="24"/>
              </w:rPr>
              <w:t>G</w:t>
            </w:r>
            <w:r w:rsidR="00F66C7C" w:rsidRPr="00FF40EA">
              <w:rPr>
                <w:rFonts w:eastAsia="Times New Roman" w:cs="Times New Roman"/>
                <w:color w:val="000000"/>
                <w:szCs w:val="24"/>
              </w:rPr>
              <w:t>wodegree</w:t>
            </w:r>
            <w:proofErr w:type="spellEnd"/>
          </w:p>
        </w:tc>
        <w:tc>
          <w:tcPr>
            <w:tcW w:w="2405" w:type="dxa"/>
            <w:tcBorders>
              <w:top w:val="nil"/>
              <w:left w:val="nil"/>
              <w:bottom w:val="nil"/>
              <w:right w:val="nil"/>
            </w:tcBorders>
            <w:shd w:val="clear" w:color="000000" w:fill="FFFFFF"/>
            <w:noWrap/>
            <w:vAlign w:val="bottom"/>
            <w:hideMark/>
          </w:tcPr>
          <w:p w14:paraId="3993236C" w14:textId="4AAB1B6E"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-2.179** </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1.078)</w:t>
            </w:r>
          </w:p>
        </w:tc>
        <w:tc>
          <w:tcPr>
            <w:tcW w:w="2407" w:type="dxa"/>
            <w:tcBorders>
              <w:top w:val="nil"/>
              <w:left w:val="nil"/>
              <w:bottom w:val="nil"/>
              <w:right w:val="nil"/>
            </w:tcBorders>
            <w:shd w:val="clear" w:color="000000" w:fill="FFFFFF"/>
            <w:noWrap/>
            <w:vAlign w:val="bottom"/>
            <w:hideMark/>
          </w:tcPr>
          <w:p w14:paraId="5CC2AA6B" w14:textId="6716A2F2"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-0.541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1.021)</w:t>
            </w:r>
          </w:p>
        </w:tc>
      </w:tr>
      <w:tr w:rsidR="00F66C7C" w:rsidRPr="00FF40EA" w14:paraId="672E32A2" w14:textId="77777777" w:rsidTr="00E5508D">
        <w:trPr>
          <w:trHeight w:val="255"/>
        </w:trPr>
        <w:tc>
          <w:tcPr>
            <w:tcW w:w="3138" w:type="dxa"/>
            <w:tcBorders>
              <w:top w:val="nil"/>
              <w:left w:val="nil"/>
              <w:bottom w:val="nil"/>
              <w:right w:val="nil"/>
            </w:tcBorders>
            <w:shd w:val="clear" w:color="000000" w:fill="FFFFFF"/>
            <w:noWrap/>
            <w:vAlign w:val="bottom"/>
            <w:hideMark/>
          </w:tcPr>
          <w:p w14:paraId="223AD864" w14:textId="3493AEAC" w:rsidR="00F66C7C" w:rsidRPr="00FF40EA" w:rsidRDefault="00303F56" w:rsidP="00303F56">
            <w:pPr>
              <w:spacing w:line="240" w:lineRule="auto"/>
              <w:rPr>
                <w:rFonts w:eastAsia="Times New Roman" w:cs="Times New Roman"/>
                <w:b/>
                <w:bCs/>
                <w:color w:val="000000"/>
                <w:szCs w:val="24"/>
                <w:u w:val="single"/>
              </w:rPr>
            </w:pPr>
            <w:r>
              <w:rPr>
                <w:rFonts w:eastAsia="Times New Roman" w:cs="Times New Roman"/>
                <w:b/>
                <w:bCs/>
                <w:color w:val="000000"/>
                <w:szCs w:val="24"/>
                <w:u w:val="single"/>
              </w:rPr>
              <w:t xml:space="preserve">Childhood </w:t>
            </w:r>
            <w:r w:rsidR="00F66C7C" w:rsidRPr="00FF40EA">
              <w:rPr>
                <w:rFonts w:eastAsia="Times New Roman" w:cs="Times New Roman"/>
                <w:b/>
                <w:bCs/>
                <w:color w:val="000000"/>
                <w:szCs w:val="24"/>
                <w:u w:val="single"/>
              </w:rPr>
              <w:t>Victimization</w:t>
            </w:r>
          </w:p>
        </w:tc>
        <w:tc>
          <w:tcPr>
            <w:tcW w:w="2405" w:type="dxa"/>
            <w:tcBorders>
              <w:top w:val="nil"/>
              <w:left w:val="nil"/>
              <w:bottom w:val="nil"/>
              <w:right w:val="nil"/>
            </w:tcBorders>
            <w:shd w:val="clear" w:color="000000" w:fill="FFFFFF"/>
            <w:noWrap/>
            <w:vAlign w:val="bottom"/>
            <w:hideMark/>
          </w:tcPr>
          <w:p w14:paraId="468C495F" w14:textId="49630F30"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0EE7A193" w14:textId="64391662" w:rsidR="00F66C7C" w:rsidRPr="00C20C2C" w:rsidRDefault="00F66C7C" w:rsidP="00861954">
            <w:pPr>
              <w:spacing w:line="240" w:lineRule="auto"/>
              <w:rPr>
                <w:rFonts w:eastAsia="Times New Roman" w:cs="Times New Roman"/>
                <w:color w:val="000000"/>
                <w:sz w:val="22"/>
              </w:rPr>
            </w:pPr>
          </w:p>
        </w:tc>
      </w:tr>
      <w:tr w:rsidR="00F66C7C" w:rsidRPr="00FF40EA" w14:paraId="2A33706F" w14:textId="77777777" w:rsidTr="00E5508D">
        <w:trPr>
          <w:trHeight w:val="255"/>
        </w:trPr>
        <w:tc>
          <w:tcPr>
            <w:tcW w:w="3138" w:type="dxa"/>
            <w:tcBorders>
              <w:top w:val="nil"/>
              <w:left w:val="nil"/>
              <w:bottom w:val="nil"/>
              <w:right w:val="nil"/>
            </w:tcBorders>
            <w:shd w:val="clear" w:color="000000" w:fill="FFFFFF"/>
            <w:noWrap/>
            <w:vAlign w:val="bottom"/>
            <w:hideMark/>
          </w:tcPr>
          <w:p w14:paraId="72594D76"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66FD952F" w14:textId="2B298F0C"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0.269** </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0.109)</w:t>
            </w:r>
          </w:p>
        </w:tc>
        <w:tc>
          <w:tcPr>
            <w:tcW w:w="2407" w:type="dxa"/>
            <w:tcBorders>
              <w:top w:val="nil"/>
              <w:left w:val="nil"/>
              <w:bottom w:val="nil"/>
              <w:right w:val="nil"/>
            </w:tcBorders>
            <w:shd w:val="clear" w:color="000000" w:fill="FFFFFF"/>
            <w:noWrap/>
            <w:vAlign w:val="bottom"/>
            <w:hideMark/>
          </w:tcPr>
          <w:p w14:paraId="29512CE1" w14:textId="01407EB9"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0.395**</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0.150)</w:t>
            </w:r>
          </w:p>
        </w:tc>
      </w:tr>
      <w:tr w:rsidR="00F66C7C" w:rsidRPr="00FF40EA" w14:paraId="1C7A2E10" w14:textId="77777777" w:rsidTr="00E5508D">
        <w:trPr>
          <w:trHeight w:val="255"/>
        </w:trPr>
        <w:tc>
          <w:tcPr>
            <w:tcW w:w="3138" w:type="dxa"/>
            <w:tcBorders>
              <w:top w:val="nil"/>
              <w:left w:val="nil"/>
              <w:bottom w:val="nil"/>
              <w:right w:val="nil"/>
            </w:tcBorders>
            <w:shd w:val="clear" w:color="000000" w:fill="FFFFFF"/>
            <w:noWrap/>
            <w:vAlign w:val="bottom"/>
            <w:hideMark/>
          </w:tcPr>
          <w:p w14:paraId="126D0AC0"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7C42129B" w14:textId="57F3AF05"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-0.173 </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0.106)</w:t>
            </w:r>
          </w:p>
        </w:tc>
        <w:tc>
          <w:tcPr>
            <w:tcW w:w="2407" w:type="dxa"/>
            <w:tcBorders>
              <w:top w:val="nil"/>
              <w:left w:val="nil"/>
              <w:bottom w:val="nil"/>
              <w:right w:val="nil"/>
            </w:tcBorders>
            <w:shd w:val="clear" w:color="000000" w:fill="FFFFFF"/>
            <w:noWrap/>
            <w:vAlign w:val="bottom"/>
            <w:hideMark/>
          </w:tcPr>
          <w:p w14:paraId="0DD0C09E" w14:textId="7777777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-0.624*** (0.136)</w:t>
            </w:r>
          </w:p>
        </w:tc>
      </w:tr>
      <w:tr w:rsidR="00F66C7C" w:rsidRPr="00FF40EA" w14:paraId="1DD75685" w14:textId="77777777" w:rsidTr="00E5508D">
        <w:trPr>
          <w:trHeight w:val="255"/>
        </w:trPr>
        <w:tc>
          <w:tcPr>
            <w:tcW w:w="3138" w:type="dxa"/>
            <w:tcBorders>
              <w:top w:val="nil"/>
              <w:left w:val="nil"/>
              <w:bottom w:val="nil"/>
              <w:right w:val="nil"/>
            </w:tcBorders>
            <w:shd w:val="clear" w:color="000000" w:fill="FFFFFF"/>
            <w:noWrap/>
            <w:vAlign w:val="bottom"/>
            <w:hideMark/>
          </w:tcPr>
          <w:p w14:paraId="1645EC4A" w14:textId="77777777" w:rsidR="00F66C7C" w:rsidRPr="00FF40EA" w:rsidRDefault="00F66C7C" w:rsidP="00303F56">
            <w:pPr>
              <w:spacing w:line="240" w:lineRule="auto"/>
              <w:rPr>
                <w:rFonts w:eastAsia="Times New Roman" w:cs="Times New Roman"/>
                <w:color w:val="000000"/>
                <w:szCs w:val="24"/>
              </w:rPr>
            </w:pPr>
            <w:r>
              <w:rPr>
                <w:rFonts w:eastAsia="Times New Roman" w:cs="Times New Roman"/>
                <w:color w:val="000000"/>
                <w:szCs w:val="24"/>
              </w:rPr>
              <w:t>Homophily</w:t>
            </w:r>
          </w:p>
        </w:tc>
        <w:tc>
          <w:tcPr>
            <w:tcW w:w="2405" w:type="dxa"/>
            <w:tcBorders>
              <w:top w:val="nil"/>
              <w:left w:val="nil"/>
              <w:bottom w:val="nil"/>
              <w:right w:val="nil"/>
            </w:tcBorders>
            <w:shd w:val="clear" w:color="000000" w:fill="FFFFFF"/>
            <w:noWrap/>
            <w:vAlign w:val="bottom"/>
            <w:hideMark/>
          </w:tcPr>
          <w:p w14:paraId="13868982" w14:textId="4B03B785"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-0.098 </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0.088)</w:t>
            </w:r>
          </w:p>
        </w:tc>
        <w:tc>
          <w:tcPr>
            <w:tcW w:w="2407" w:type="dxa"/>
            <w:tcBorders>
              <w:top w:val="nil"/>
              <w:left w:val="nil"/>
              <w:bottom w:val="nil"/>
              <w:right w:val="nil"/>
            </w:tcBorders>
            <w:shd w:val="clear" w:color="000000" w:fill="FFFFFF"/>
            <w:noWrap/>
            <w:vAlign w:val="bottom"/>
            <w:hideMark/>
          </w:tcPr>
          <w:p w14:paraId="2B5603AA" w14:textId="60190C01"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0.076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0.107)</w:t>
            </w:r>
          </w:p>
        </w:tc>
      </w:tr>
      <w:tr w:rsidR="00F66C7C" w:rsidRPr="00FF40EA" w14:paraId="30546DB8" w14:textId="77777777" w:rsidTr="00E5508D">
        <w:trPr>
          <w:trHeight w:val="255"/>
        </w:trPr>
        <w:tc>
          <w:tcPr>
            <w:tcW w:w="3138" w:type="dxa"/>
            <w:tcBorders>
              <w:top w:val="nil"/>
              <w:left w:val="nil"/>
              <w:bottom w:val="nil"/>
              <w:right w:val="nil"/>
            </w:tcBorders>
            <w:shd w:val="clear" w:color="000000" w:fill="FFFFFF"/>
            <w:noWrap/>
            <w:vAlign w:val="bottom"/>
            <w:hideMark/>
          </w:tcPr>
          <w:p w14:paraId="691EE3E9" w14:textId="3310B923"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Substance Use</w:t>
            </w:r>
            <w:r w:rsidR="00303F56">
              <w:rPr>
                <w:rFonts w:eastAsia="Times New Roman" w:cs="Times New Roman"/>
                <w:b/>
                <w:bCs/>
                <w:color w:val="000000"/>
                <w:szCs w:val="24"/>
                <w:u w:val="single"/>
              </w:rPr>
              <w:t xml:space="preserve"> Disorder</w:t>
            </w:r>
          </w:p>
        </w:tc>
        <w:tc>
          <w:tcPr>
            <w:tcW w:w="2405" w:type="dxa"/>
            <w:tcBorders>
              <w:top w:val="nil"/>
              <w:left w:val="nil"/>
              <w:bottom w:val="nil"/>
              <w:right w:val="nil"/>
            </w:tcBorders>
            <w:shd w:val="clear" w:color="000000" w:fill="FFFFFF"/>
            <w:noWrap/>
            <w:vAlign w:val="bottom"/>
            <w:hideMark/>
          </w:tcPr>
          <w:p w14:paraId="611A594E" w14:textId="438A356D"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4AE0E23F" w14:textId="2A5A5865" w:rsidR="00F66C7C" w:rsidRPr="00C20C2C" w:rsidRDefault="00F66C7C" w:rsidP="00861954">
            <w:pPr>
              <w:spacing w:line="240" w:lineRule="auto"/>
              <w:rPr>
                <w:rFonts w:eastAsia="Times New Roman" w:cs="Times New Roman"/>
                <w:color w:val="000000"/>
                <w:sz w:val="22"/>
              </w:rPr>
            </w:pPr>
          </w:p>
        </w:tc>
      </w:tr>
      <w:tr w:rsidR="00F66C7C" w:rsidRPr="00FF40EA" w14:paraId="096654D5" w14:textId="77777777" w:rsidTr="00E5508D">
        <w:trPr>
          <w:trHeight w:val="255"/>
        </w:trPr>
        <w:tc>
          <w:tcPr>
            <w:tcW w:w="3138" w:type="dxa"/>
            <w:tcBorders>
              <w:top w:val="nil"/>
              <w:left w:val="nil"/>
              <w:bottom w:val="nil"/>
              <w:right w:val="nil"/>
            </w:tcBorders>
            <w:shd w:val="clear" w:color="000000" w:fill="FFFFFF"/>
            <w:noWrap/>
            <w:vAlign w:val="bottom"/>
            <w:hideMark/>
          </w:tcPr>
          <w:p w14:paraId="3201F5B9"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103C97CC" w14:textId="62936173"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0.098</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 xml:space="preserve"> (</w:t>
            </w:r>
            <w:proofErr w:type="gramEnd"/>
            <w:r w:rsidRPr="00C20C2C">
              <w:rPr>
                <w:rFonts w:eastAsia="Times New Roman" w:cs="Times New Roman"/>
                <w:color w:val="000000"/>
                <w:sz w:val="22"/>
              </w:rPr>
              <w:t>0.114)</w:t>
            </w:r>
          </w:p>
        </w:tc>
        <w:tc>
          <w:tcPr>
            <w:tcW w:w="2407" w:type="dxa"/>
            <w:tcBorders>
              <w:top w:val="nil"/>
              <w:left w:val="nil"/>
              <w:bottom w:val="nil"/>
              <w:right w:val="nil"/>
            </w:tcBorders>
            <w:shd w:val="clear" w:color="000000" w:fill="FFFFFF"/>
            <w:noWrap/>
            <w:vAlign w:val="bottom"/>
            <w:hideMark/>
          </w:tcPr>
          <w:p w14:paraId="7F981B90" w14:textId="31FB4905"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0.376**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0.156)</w:t>
            </w:r>
          </w:p>
        </w:tc>
      </w:tr>
      <w:tr w:rsidR="00F66C7C" w:rsidRPr="00FF40EA" w14:paraId="019D1559" w14:textId="77777777" w:rsidTr="00E5508D">
        <w:trPr>
          <w:trHeight w:val="255"/>
        </w:trPr>
        <w:tc>
          <w:tcPr>
            <w:tcW w:w="3138" w:type="dxa"/>
            <w:tcBorders>
              <w:top w:val="nil"/>
              <w:left w:val="nil"/>
              <w:bottom w:val="nil"/>
              <w:right w:val="nil"/>
            </w:tcBorders>
            <w:shd w:val="clear" w:color="000000" w:fill="FFFFFF"/>
            <w:noWrap/>
            <w:vAlign w:val="bottom"/>
            <w:hideMark/>
          </w:tcPr>
          <w:p w14:paraId="35D12A0C"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3446F0D1" w14:textId="0F723BA9"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0.148 </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0.112)</w:t>
            </w:r>
          </w:p>
        </w:tc>
        <w:tc>
          <w:tcPr>
            <w:tcW w:w="2407" w:type="dxa"/>
            <w:tcBorders>
              <w:top w:val="nil"/>
              <w:left w:val="nil"/>
              <w:bottom w:val="nil"/>
              <w:right w:val="nil"/>
            </w:tcBorders>
            <w:shd w:val="clear" w:color="000000" w:fill="FFFFFF"/>
            <w:noWrap/>
            <w:vAlign w:val="bottom"/>
            <w:hideMark/>
          </w:tcPr>
          <w:p w14:paraId="20914F54" w14:textId="0689E04C"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0.116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0.130)</w:t>
            </w:r>
          </w:p>
        </w:tc>
      </w:tr>
      <w:tr w:rsidR="00F66C7C" w:rsidRPr="00FF40EA" w14:paraId="75F39C2B" w14:textId="77777777" w:rsidTr="00E5508D">
        <w:trPr>
          <w:trHeight w:val="255"/>
        </w:trPr>
        <w:tc>
          <w:tcPr>
            <w:tcW w:w="3138" w:type="dxa"/>
            <w:tcBorders>
              <w:top w:val="nil"/>
              <w:left w:val="nil"/>
              <w:bottom w:val="nil"/>
              <w:right w:val="nil"/>
            </w:tcBorders>
            <w:shd w:val="clear" w:color="000000" w:fill="FFFFFF"/>
            <w:noWrap/>
            <w:vAlign w:val="bottom"/>
            <w:hideMark/>
          </w:tcPr>
          <w:p w14:paraId="0248A3EB"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Homophily</w:t>
            </w:r>
          </w:p>
        </w:tc>
        <w:tc>
          <w:tcPr>
            <w:tcW w:w="2405" w:type="dxa"/>
            <w:tcBorders>
              <w:top w:val="nil"/>
              <w:left w:val="nil"/>
              <w:bottom w:val="nil"/>
              <w:right w:val="nil"/>
            </w:tcBorders>
            <w:shd w:val="clear" w:color="000000" w:fill="FFFFFF"/>
            <w:noWrap/>
            <w:vAlign w:val="bottom"/>
            <w:hideMark/>
          </w:tcPr>
          <w:p w14:paraId="37C524C5" w14:textId="618B9775"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0.130 </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0.091)</w:t>
            </w:r>
          </w:p>
        </w:tc>
        <w:tc>
          <w:tcPr>
            <w:tcW w:w="2407" w:type="dxa"/>
            <w:tcBorders>
              <w:top w:val="nil"/>
              <w:left w:val="nil"/>
              <w:bottom w:val="nil"/>
              <w:right w:val="nil"/>
            </w:tcBorders>
            <w:shd w:val="clear" w:color="000000" w:fill="FFFFFF"/>
            <w:noWrap/>
            <w:vAlign w:val="bottom"/>
            <w:hideMark/>
          </w:tcPr>
          <w:p w14:paraId="212079F6" w14:textId="29FA85B5"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0.094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0.103)</w:t>
            </w:r>
          </w:p>
        </w:tc>
      </w:tr>
      <w:tr w:rsidR="00F66C7C" w:rsidRPr="00FF40EA" w14:paraId="05393002" w14:textId="77777777" w:rsidTr="00E5508D">
        <w:trPr>
          <w:trHeight w:val="255"/>
        </w:trPr>
        <w:tc>
          <w:tcPr>
            <w:tcW w:w="3138" w:type="dxa"/>
            <w:tcBorders>
              <w:top w:val="nil"/>
              <w:left w:val="nil"/>
              <w:bottom w:val="nil"/>
              <w:right w:val="nil"/>
            </w:tcBorders>
            <w:shd w:val="clear" w:color="000000" w:fill="FFFFFF"/>
            <w:noWrap/>
            <w:vAlign w:val="bottom"/>
            <w:hideMark/>
          </w:tcPr>
          <w:p w14:paraId="1DBB1A9B" w14:textId="77777777"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Mental Health</w:t>
            </w:r>
          </w:p>
        </w:tc>
        <w:tc>
          <w:tcPr>
            <w:tcW w:w="2405" w:type="dxa"/>
            <w:tcBorders>
              <w:top w:val="nil"/>
              <w:left w:val="nil"/>
              <w:bottom w:val="nil"/>
              <w:right w:val="nil"/>
            </w:tcBorders>
            <w:shd w:val="clear" w:color="000000" w:fill="FFFFFF"/>
            <w:noWrap/>
            <w:vAlign w:val="bottom"/>
            <w:hideMark/>
          </w:tcPr>
          <w:p w14:paraId="2DF85EE3" w14:textId="472ED23F"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2C5CF53F" w14:textId="1EC4DE32" w:rsidR="00F66C7C" w:rsidRPr="00C20C2C" w:rsidRDefault="00F66C7C" w:rsidP="00861954">
            <w:pPr>
              <w:spacing w:line="240" w:lineRule="auto"/>
              <w:rPr>
                <w:rFonts w:eastAsia="Times New Roman" w:cs="Times New Roman"/>
                <w:color w:val="000000"/>
                <w:sz w:val="22"/>
              </w:rPr>
            </w:pPr>
          </w:p>
        </w:tc>
      </w:tr>
      <w:tr w:rsidR="00F66C7C" w:rsidRPr="00FF40EA" w14:paraId="215E90F8" w14:textId="77777777" w:rsidTr="00E5508D">
        <w:trPr>
          <w:trHeight w:val="255"/>
        </w:trPr>
        <w:tc>
          <w:tcPr>
            <w:tcW w:w="3138" w:type="dxa"/>
            <w:tcBorders>
              <w:top w:val="nil"/>
              <w:left w:val="nil"/>
              <w:bottom w:val="nil"/>
              <w:right w:val="nil"/>
            </w:tcBorders>
            <w:shd w:val="clear" w:color="000000" w:fill="FFFFFF"/>
            <w:noWrap/>
            <w:vAlign w:val="bottom"/>
            <w:hideMark/>
          </w:tcPr>
          <w:p w14:paraId="7DF36017"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7CBA485D" w14:textId="7777777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0.263*** (0.099)</w:t>
            </w:r>
          </w:p>
        </w:tc>
        <w:tc>
          <w:tcPr>
            <w:tcW w:w="2407" w:type="dxa"/>
            <w:tcBorders>
              <w:top w:val="nil"/>
              <w:left w:val="nil"/>
              <w:bottom w:val="nil"/>
              <w:right w:val="nil"/>
            </w:tcBorders>
            <w:shd w:val="clear" w:color="000000" w:fill="FFFFFF"/>
            <w:noWrap/>
            <w:vAlign w:val="bottom"/>
            <w:hideMark/>
          </w:tcPr>
          <w:p w14:paraId="11771B4A" w14:textId="1989A5D4"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-0.008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0.110)</w:t>
            </w:r>
          </w:p>
        </w:tc>
      </w:tr>
      <w:tr w:rsidR="00F66C7C" w:rsidRPr="00FF40EA" w14:paraId="01654D7C" w14:textId="77777777" w:rsidTr="00E5508D">
        <w:trPr>
          <w:trHeight w:val="255"/>
        </w:trPr>
        <w:tc>
          <w:tcPr>
            <w:tcW w:w="3138" w:type="dxa"/>
            <w:tcBorders>
              <w:top w:val="nil"/>
              <w:left w:val="nil"/>
              <w:bottom w:val="nil"/>
              <w:right w:val="nil"/>
            </w:tcBorders>
            <w:shd w:val="clear" w:color="000000" w:fill="FFFFFF"/>
            <w:noWrap/>
            <w:vAlign w:val="bottom"/>
            <w:hideMark/>
          </w:tcPr>
          <w:p w14:paraId="43EC3E94"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59298E5A" w14:textId="4D7B3943"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0.097 </w:t>
            </w:r>
            <w:r w:rsidR="009C71F4">
              <w:rPr>
                <w:rFonts w:eastAsia="Times New Roman" w:cs="Times New Roman"/>
                <w:color w:val="000000"/>
                <w:sz w:val="22"/>
              </w:rPr>
              <w:t xml:space="preserve">   </w:t>
            </w:r>
            <w:proofErr w:type="gramStart"/>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0.087)</w:t>
            </w:r>
          </w:p>
        </w:tc>
        <w:tc>
          <w:tcPr>
            <w:tcW w:w="2407" w:type="dxa"/>
            <w:tcBorders>
              <w:top w:val="nil"/>
              <w:left w:val="nil"/>
              <w:bottom w:val="nil"/>
              <w:right w:val="nil"/>
            </w:tcBorders>
            <w:shd w:val="clear" w:color="000000" w:fill="FFFFFF"/>
            <w:noWrap/>
            <w:vAlign w:val="bottom"/>
            <w:hideMark/>
          </w:tcPr>
          <w:p w14:paraId="2A4703B0" w14:textId="4499E8BC"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0.114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0.084)</w:t>
            </w:r>
          </w:p>
        </w:tc>
      </w:tr>
      <w:tr w:rsidR="00F66C7C" w:rsidRPr="00FF40EA" w14:paraId="09FF8A1E" w14:textId="77777777" w:rsidTr="00E5508D">
        <w:trPr>
          <w:trHeight w:val="255"/>
        </w:trPr>
        <w:tc>
          <w:tcPr>
            <w:tcW w:w="3138" w:type="dxa"/>
            <w:tcBorders>
              <w:top w:val="nil"/>
              <w:left w:val="nil"/>
              <w:bottom w:val="nil"/>
              <w:right w:val="nil"/>
            </w:tcBorders>
            <w:shd w:val="clear" w:color="000000" w:fill="FFFFFF"/>
            <w:noWrap/>
            <w:vAlign w:val="bottom"/>
            <w:hideMark/>
          </w:tcPr>
          <w:p w14:paraId="265A39A8" w14:textId="77777777" w:rsidR="00F66C7C" w:rsidRPr="00FF40EA" w:rsidRDefault="00F66C7C" w:rsidP="00303F56">
            <w:pPr>
              <w:spacing w:line="240" w:lineRule="auto"/>
              <w:rPr>
                <w:rFonts w:eastAsia="Times New Roman" w:cs="Times New Roman"/>
                <w:color w:val="000000"/>
                <w:szCs w:val="24"/>
              </w:rPr>
            </w:pPr>
            <w:r>
              <w:rPr>
                <w:rFonts w:eastAsia="Times New Roman" w:cs="Times New Roman"/>
                <w:color w:val="000000"/>
                <w:szCs w:val="24"/>
              </w:rPr>
              <w:t>Homophily</w:t>
            </w:r>
          </w:p>
        </w:tc>
        <w:tc>
          <w:tcPr>
            <w:tcW w:w="2405" w:type="dxa"/>
            <w:tcBorders>
              <w:top w:val="nil"/>
              <w:left w:val="nil"/>
              <w:bottom w:val="nil"/>
              <w:right w:val="nil"/>
            </w:tcBorders>
            <w:shd w:val="clear" w:color="000000" w:fill="FFFFFF"/>
            <w:noWrap/>
            <w:vAlign w:val="bottom"/>
            <w:hideMark/>
          </w:tcPr>
          <w:p w14:paraId="6E62B0EE" w14:textId="616A6F94"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-0.179*</w:t>
            </w:r>
            <w:proofErr w:type="gramStart"/>
            <w:r w:rsidRPr="00C20C2C">
              <w:rPr>
                <w:rFonts w:eastAsia="Times New Roman" w:cs="Times New Roman"/>
                <w:color w:val="000000"/>
                <w:sz w:val="22"/>
              </w:rPr>
              <w:t xml:space="preserve">* </w:t>
            </w:r>
            <w:r w:rsidR="009C71F4">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0.090)</w:t>
            </w:r>
          </w:p>
        </w:tc>
        <w:tc>
          <w:tcPr>
            <w:tcW w:w="2407" w:type="dxa"/>
            <w:tcBorders>
              <w:top w:val="nil"/>
              <w:left w:val="nil"/>
              <w:bottom w:val="nil"/>
              <w:right w:val="nil"/>
            </w:tcBorders>
            <w:shd w:val="clear" w:color="000000" w:fill="FFFFFF"/>
            <w:noWrap/>
            <w:vAlign w:val="bottom"/>
            <w:hideMark/>
          </w:tcPr>
          <w:p w14:paraId="5B2A8A11" w14:textId="62695ACA"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0.011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0.087)</w:t>
            </w:r>
          </w:p>
        </w:tc>
      </w:tr>
      <w:tr w:rsidR="00F66C7C" w:rsidRPr="00FF40EA" w14:paraId="35C3844C" w14:textId="77777777" w:rsidTr="00E5508D">
        <w:trPr>
          <w:trHeight w:val="255"/>
        </w:trPr>
        <w:tc>
          <w:tcPr>
            <w:tcW w:w="3138" w:type="dxa"/>
            <w:tcBorders>
              <w:top w:val="nil"/>
              <w:left w:val="nil"/>
              <w:bottom w:val="nil"/>
              <w:right w:val="nil"/>
            </w:tcBorders>
            <w:shd w:val="clear" w:color="000000" w:fill="FFFFFF"/>
            <w:noWrap/>
            <w:vAlign w:val="bottom"/>
            <w:hideMark/>
          </w:tcPr>
          <w:p w14:paraId="2B624F81" w14:textId="77777777"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White</w:t>
            </w:r>
          </w:p>
        </w:tc>
        <w:tc>
          <w:tcPr>
            <w:tcW w:w="2405" w:type="dxa"/>
            <w:tcBorders>
              <w:top w:val="nil"/>
              <w:left w:val="nil"/>
              <w:bottom w:val="nil"/>
              <w:right w:val="nil"/>
            </w:tcBorders>
            <w:shd w:val="clear" w:color="000000" w:fill="FFFFFF"/>
            <w:noWrap/>
            <w:vAlign w:val="bottom"/>
            <w:hideMark/>
          </w:tcPr>
          <w:p w14:paraId="7590E0F3" w14:textId="5EAC9D83"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5212C95B" w14:textId="324FCE54" w:rsidR="00F66C7C" w:rsidRPr="00C20C2C" w:rsidRDefault="00F66C7C" w:rsidP="00861954">
            <w:pPr>
              <w:spacing w:line="240" w:lineRule="auto"/>
              <w:rPr>
                <w:rFonts w:eastAsia="Times New Roman" w:cs="Times New Roman"/>
                <w:color w:val="000000"/>
                <w:sz w:val="22"/>
              </w:rPr>
            </w:pPr>
          </w:p>
        </w:tc>
      </w:tr>
      <w:tr w:rsidR="00F66C7C" w:rsidRPr="00FF40EA" w14:paraId="420FD148" w14:textId="77777777" w:rsidTr="00E5508D">
        <w:trPr>
          <w:trHeight w:val="255"/>
        </w:trPr>
        <w:tc>
          <w:tcPr>
            <w:tcW w:w="3138" w:type="dxa"/>
            <w:tcBorders>
              <w:top w:val="nil"/>
              <w:left w:val="nil"/>
              <w:bottom w:val="nil"/>
              <w:right w:val="nil"/>
            </w:tcBorders>
            <w:shd w:val="clear" w:color="000000" w:fill="FFFFFF"/>
            <w:noWrap/>
            <w:vAlign w:val="bottom"/>
            <w:hideMark/>
          </w:tcPr>
          <w:p w14:paraId="28B72217"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14A394F7" w14:textId="6DC3F110"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-0.366***(0.124)</w:t>
            </w:r>
          </w:p>
        </w:tc>
        <w:tc>
          <w:tcPr>
            <w:tcW w:w="2407" w:type="dxa"/>
            <w:tcBorders>
              <w:top w:val="nil"/>
              <w:left w:val="nil"/>
              <w:bottom w:val="nil"/>
              <w:right w:val="nil"/>
            </w:tcBorders>
            <w:shd w:val="clear" w:color="000000" w:fill="FFFFFF"/>
            <w:noWrap/>
            <w:vAlign w:val="bottom"/>
            <w:hideMark/>
          </w:tcPr>
          <w:p w14:paraId="62967B94" w14:textId="6F039DCD"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0.051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0.224)</w:t>
            </w:r>
          </w:p>
        </w:tc>
      </w:tr>
      <w:tr w:rsidR="00F66C7C" w:rsidRPr="00FF40EA" w14:paraId="422F1F8D" w14:textId="77777777" w:rsidTr="00E5508D">
        <w:trPr>
          <w:trHeight w:val="255"/>
        </w:trPr>
        <w:tc>
          <w:tcPr>
            <w:tcW w:w="3138" w:type="dxa"/>
            <w:tcBorders>
              <w:top w:val="nil"/>
              <w:left w:val="nil"/>
              <w:bottom w:val="nil"/>
              <w:right w:val="nil"/>
            </w:tcBorders>
            <w:shd w:val="clear" w:color="000000" w:fill="FFFFFF"/>
            <w:noWrap/>
            <w:vAlign w:val="bottom"/>
            <w:hideMark/>
          </w:tcPr>
          <w:p w14:paraId="73DC7BF0"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6C8B9CA6" w14:textId="10DC61EC"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-0.007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0.119)</w:t>
            </w:r>
          </w:p>
        </w:tc>
        <w:tc>
          <w:tcPr>
            <w:tcW w:w="2407" w:type="dxa"/>
            <w:tcBorders>
              <w:top w:val="nil"/>
              <w:left w:val="nil"/>
              <w:bottom w:val="nil"/>
              <w:right w:val="nil"/>
            </w:tcBorders>
            <w:shd w:val="clear" w:color="000000" w:fill="FFFFFF"/>
            <w:noWrap/>
            <w:vAlign w:val="bottom"/>
            <w:hideMark/>
          </w:tcPr>
          <w:p w14:paraId="43056CE3" w14:textId="29C9327A"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-0.454**</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0.182)</w:t>
            </w:r>
          </w:p>
        </w:tc>
      </w:tr>
      <w:tr w:rsidR="00F66C7C" w:rsidRPr="00FF40EA" w14:paraId="2D190E35" w14:textId="77777777" w:rsidTr="00E5508D">
        <w:trPr>
          <w:trHeight w:val="255"/>
        </w:trPr>
        <w:tc>
          <w:tcPr>
            <w:tcW w:w="3138" w:type="dxa"/>
            <w:tcBorders>
              <w:top w:val="nil"/>
              <w:left w:val="nil"/>
              <w:bottom w:val="nil"/>
              <w:right w:val="nil"/>
            </w:tcBorders>
            <w:shd w:val="clear" w:color="000000" w:fill="FFFFFF"/>
            <w:noWrap/>
            <w:vAlign w:val="bottom"/>
            <w:hideMark/>
          </w:tcPr>
          <w:p w14:paraId="24DA2AF5" w14:textId="59567D1E" w:rsidR="00F66C7C" w:rsidRPr="00FF40EA" w:rsidRDefault="00F66C7C" w:rsidP="00303F56">
            <w:pPr>
              <w:spacing w:line="240" w:lineRule="auto"/>
              <w:rPr>
                <w:rFonts w:eastAsia="Times New Roman" w:cs="Times New Roman"/>
                <w:color w:val="000000"/>
                <w:szCs w:val="24"/>
              </w:rPr>
            </w:pPr>
            <w:r>
              <w:rPr>
                <w:rFonts w:eastAsia="Times New Roman" w:cs="Times New Roman"/>
                <w:color w:val="000000"/>
                <w:szCs w:val="24"/>
              </w:rPr>
              <w:t>Homophily</w:t>
            </w:r>
          </w:p>
        </w:tc>
        <w:tc>
          <w:tcPr>
            <w:tcW w:w="2405" w:type="dxa"/>
            <w:tcBorders>
              <w:top w:val="nil"/>
              <w:left w:val="nil"/>
              <w:bottom w:val="nil"/>
              <w:right w:val="nil"/>
            </w:tcBorders>
            <w:shd w:val="clear" w:color="000000" w:fill="FFFFFF"/>
            <w:noWrap/>
            <w:vAlign w:val="bottom"/>
            <w:hideMark/>
          </w:tcPr>
          <w:p w14:paraId="60AEBE76" w14:textId="7777777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0.412*** (0.097)</w:t>
            </w:r>
          </w:p>
        </w:tc>
        <w:tc>
          <w:tcPr>
            <w:tcW w:w="2407" w:type="dxa"/>
            <w:tcBorders>
              <w:top w:val="nil"/>
              <w:left w:val="nil"/>
              <w:bottom w:val="nil"/>
              <w:right w:val="nil"/>
            </w:tcBorders>
            <w:shd w:val="clear" w:color="000000" w:fill="FFFFFF"/>
            <w:noWrap/>
            <w:vAlign w:val="bottom"/>
            <w:hideMark/>
          </w:tcPr>
          <w:p w14:paraId="2ACD9D52" w14:textId="73A4AAF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0.499**</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0.155)</w:t>
            </w:r>
          </w:p>
        </w:tc>
      </w:tr>
      <w:tr w:rsidR="00F66C7C" w:rsidRPr="00FF40EA" w14:paraId="0C60F555" w14:textId="77777777" w:rsidTr="00E5508D">
        <w:trPr>
          <w:trHeight w:val="255"/>
        </w:trPr>
        <w:tc>
          <w:tcPr>
            <w:tcW w:w="3138" w:type="dxa"/>
            <w:tcBorders>
              <w:top w:val="nil"/>
              <w:left w:val="nil"/>
              <w:bottom w:val="nil"/>
              <w:right w:val="nil"/>
            </w:tcBorders>
            <w:shd w:val="clear" w:color="000000" w:fill="FFFFFF"/>
            <w:noWrap/>
            <w:vAlign w:val="bottom"/>
            <w:hideMark/>
          </w:tcPr>
          <w:p w14:paraId="3542E2AB" w14:textId="77777777"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Time on Unit</w:t>
            </w:r>
          </w:p>
        </w:tc>
        <w:tc>
          <w:tcPr>
            <w:tcW w:w="2405" w:type="dxa"/>
            <w:tcBorders>
              <w:top w:val="nil"/>
              <w:left w:val="nil"/>
              <w:bottom w:val="nil"/>
              <w:right w:val="nil"/>
            </w:tcBorders>
            <w:shd w:val="clear" w:color="000000" w:fill="FFFFFF"/>
            <w:noWrap/>
            <w:vAlign w:val="bottom"/>
            <w:hideMark/>
          </w:tcPr>
          <w:p w14:paraId="61FE84AC" w14:textId="3D93BE96"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7C34B06B" w14:textId="2701D88E" w:rsidR="00F66C7C" w:rsidRPr="00C20C2C" w:rsidRDefault="00F66C7C" w:rsidP="00861954">
            <w:pPr>
              <w:spacing w:line="240" w:lineRule="auto"/>
              <w:rPr>
                <w:rFonts w:eastAsia="Times New Roman" w:cs="Times New Roman"/>
                <w:color w:val="000000"/>
                <w:sz w:val="22"/>
              </w:rPr>
            </w:pPr>
          </w:p>
        </w:tc>
      </w:tr>
      <w:tr w:rsidR="00F66C7C" w:rsidRPr="00FF40EA" w14:paraId="6B788BF6" w14:textId="77777777" w:rsidTr="00E5508D">
        <w:trPr>
          <w:trHeight w:val="255"/>
        </w:trPr>
        <w:tc>
          <w:tcPr>
            <w:tcW w:w="3138" w:type="dxa"/>
            <w:tcBorders>
              <w:top w:val="nil"/>
              <w:left w:val="nil"/>
              <w:bottom w:val="nil"/>
              <w:right w:val="nil"/>
            </w:tcBorders>
            <w:shd w:val="clear" w:color="000000" w:fill="FFFFFF"/>
            <w:noWrap/>
            <w:vAlign w:val="bottom"/>
            <w:hideMark/>
          </w:tcPr>
          <w:p w14:paraId="7EB0661D"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504A5521" w14:textId="1F5C7FC9"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-0.062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0.039)</w:t>
            </w:r>
          </w:p>
        </w:tc>
        <w:tc>
          <w:tcPr>
            <w:tcW w:w="2407" w:type="dxa"/>
            <w:tcBorders>
              <w:top w:val="nil"/>
              <w:left w:val="nil"/>
              <w:bottom w:val="nil"/>
              <w:right w:val="nil"/>
            </w:tcBorders>
            <w:shd w:val="clear" w:color="000000" w:fill="FFFFFF"/>
            <w:noWrap/>
            <w:vAlign w:val="bottom"/>
            <w:hideMark/>
          </w:tcPr>
          <w:p w14:paraId="4EB0B0B9" w14:textId="00331FD3"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0.904**</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0.158)</w:t>
            </w:r>
          </w:p>
        </w:tc>
      </w:tr>
      <w:tr w:rsidR="00F66C7C" w:rsidRPr="00FF40EA" w14:paraId="64FBA64B" w14:textId="77777777" w:rsidTr="00E5508D">
        <w:trPr>
          <w:trHeight w:val="255"/>
        </w:trPr>
        <w:tc>
          <w:tcPr>
            <w:tcW w:w="3138" w:type="dxa"/>
            <w:tcBorders>
              <w:top w:val="nil"/>
              <w:left w:val="nil"/>
              <w:bottom w:val="nil"/>
              <w:right w:val="nil"/>
            </w:tcBorders>
            <w:shd w:val="clear" w:color="000000" w:fill="FFFFFF"/>
            <w:noWrap/>
            <w:vAlign w:val="bottom"/>
            <w:hideMark/>
          </w:tcPr>
          <w:p w14:paraId="0A9E45A5"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74E2865B" w14:textId="1E47DF0A"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0.328*** (0.040)</w:t>
            </w:r>
          </w:p>
        </w:tc>
        <w:tc>
          <w:tcPr>
            <w:tcW w:w="2407" w:type="dxa"/>
            <w:tcBorders>
              <w:top w:val="nil"/>
              <w:left w:val="nil"/>
              <w:bottom w:val="nil"/>
              <w:right w:val="nil"/>
            </w:tcBorders>
            <w:shd w:val="clear" w:color="000000" w:fill="FFFFFF"/>
            <w:noWrap/>
            <w:vAlign w:val="bottom"/>
            <w:hideMark/>
          </w:tcPr>
          <w:p w14:paraId="314952D6" w14:textId="3DACD503"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1.180**</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0.156)</w:t>
            </w:r>
          </w:p>
        </w:tc>
      </w:tr>
      <w:tr w:rsidR="00F66C7C" w:rsidRPr="00FF40EA" w14:paraId="04D6E112" w14:textId="77777777" w:rsidTr="00E5508D">
        <w:trPr>
          <w:trHeight w:val="255"/>
        </w:trPr>
        <w:tc>
          <w:tcPr>
            <w:tcW w:w="3138" w:type="dxa"/>
            <w:tcBorders>
              <w:top w:val="nil"/>
              <w:left w:val="nil"/>
              <w:bottom w:val="nil"/>
              <w:right w:val="nil"/>
            </w:tcBorders>
            <w:shd w:val="clear" w:color="000000" w:fill="FFFFFF"/>
            <w:noWrap/>
            <w:vAlign w:val="bottom"/>
            <w:hideMark/>
          </w:tcPr>
          <w:p w14:paraId="2527812F" w14:textId="77777777" w:rsidR="00F66C7C" w:rsidRPr="00FF40EA" w:rsidRDefault="00F66C7C" w:rsidP="00303F56">
            <w:pPr>
              <w:spacing w:line="240" w:lineRule="auto"/>
              <w:rPr>
                <w:rFonts w:eastAsia="Times New Roman" w:cs="Times New Roman"/>
                <w:color w:val="000000"/>
                <w:szCs w:val="24"/>
              </w:rPr>
            </w:pPr>
            <w:r>
              <w:rPr>
                <w:rFonts w:eastAsia="Times New Roman" w:cs="Times New Roman"/>
                <w:color w:val="000000"/>
                <w:szCs w:val="24"/>
              </w:rPr>
              <w:t>Homophily</w:t>
            </w:r>
          </w:p>
        </w:tc>
        <w:tc>
          <w:tcPr>
            <w:tcW w:w="2405" w:type="dxa"/>
            <w:tcBorders>
              <w:top w:val="nil"/>
              <w:left w:val="nil"/>
              <w:bottom w:val="nil"/>
              <w:right w:val="nil"/>
            </w:tcBorders>
            <w:shd w:val="clear" w:color="000000" w:fill="FFFFFF"/>
            <w:noWrap/>
            <w:vAlign w:val="bottom"/>
            <w:hideMark/>
          </w:tcPr>
          <w:p w14:paraId="7793BE2A" w14:textId="02B7F758"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-0.293***(0.037)</w:t>
            </w:r>
          </w:p>
        </w:tc>
        <w:tc>
          <w:tcPr>
            <w:tcW w:w="2407" w:type="dxa"/>
            <w:tcBorders>
              <w:top w:val="nil"/>
              <w:left w:val="nil"/>
              <w:bottom w:val="nil"/>
              <w:right w:val="nil"/>
            </w:tcBorders>
            <w:shd w:val="clear" w:color="000000" w:fill="FFFFFF"/>
            <w:noWrap/>
            <w:vAlign w:val="bottom"/>
            <w:hideMark/>
          </w:tcPr>
          <w:p w14:paraId="79F34625" w14:textId="7777777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-1.046*** (0.161)</w:t>
            </w:r>
          </w:p>
        </w:tc>
      </w:tr>
      <w:tr w:rsidR="00F66C7C" w:rsidRPr="00FF40EA" w14:paraId="169FE094" w14:textId="77777777" w:rsidTr="00E5508D">
        <w:trPr>
          <w:trHeight w:val="255"/>
        </w:trPr>
        <w:tc>
          <w:tcPr>
            <w:tcW w:w="3138" w:type="dxa"/>
            <w:tcBorders>
              <w:top w:val="nil"/>
              <w:left w:val="nil"/>
              <w:bottom w:val="nil"/>
              <w:right w:val="nil"/>
            </w:tcBorders>
            <w:shd w:val="clear" w:color="000000" w:fill="FFFFFF"/>
            <w:noWrap/>
            <w:vAlign w:val="bottom"/>
            <w:hideMark/>
          </w:tcPr>
          <w:p w14:paraId="42852B1B" w14:textId="77777777"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Offense Gravity Score</w:t>
            </w:r>
          </w:p>
        </w:tc>
        <w:tc>
          <w:tcPr>
            <w:tcW w:w="2405" w:type="dxa"/>
            <w:tcBorders>
              <w:top w:val="nil"/>
              <w:left w:val="nil"/>
              <w:bottom w:val="nil"/>
              <w:right w:val="nil"/>
            </w:tcBorders>
            <w:shd w:val="clear" w:color="000000" w:fill="FFFFFF"/>
            <w:noWrap/>
            <w:vAlign w:val="bottom"/>
            <w:hideMark/>
          </w:tcPr>
          <w:p w14:paraId="09D39429" w14:textId="07FD462F"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14E7AB36" w14:textId="14496210" w:rsidR="00F66C7C" w:rsidRPr="00C20C2C" w:rsidRDefault="00F66C7C" w:rsidP="00861954">
            <w:pPr>
              <w:spacing w:line="240" w:lineRule="auto"/>
              <w:rPr>
                <w:rFonts w:eastAsia="Times New Roman" w:cs="Times New Roman"/>
                <w:color w:val="000000"/>
                <w:sz w:val="22"/>
              </w:rPr>
            </w:pPr>
          </w:p>
        </w:tc>
      </w:tr>
      <w:tr w:rsidR="00F66C7C" w:rsidRPr="00FF40EA" w14:paraId="35473C6E" w14:textId="77777777" w:rsidTr="00E5508D">
        <w:trPr>
          <w:trHeight w:val="255"/>
        </w:trPr>
        <w:tc>
          <w:tcPr>
            <w:tcW w:w="3138" w:type="dxa"/>
            <w:tcBorders>
              <w:top w:val="nil"/>
              <w:left w:val="nil"/>
              <w:bottom w:val="nil"/>
              <w:right w:val="nil"/>
            </w:tcBorders>
            <w:shd w:val="clear" w:color="000000" w:fill="FFFFFF"/>
            <w:noWrap/>
            <w:vAlign w:val="bottom"/>
            <w:hideMark/>
          </w:tcPr>
          <w:p w14:paraId="0E775CD1"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1430899B" w14:textId="2EF74A09"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0.001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0.014)</w:t>
            </w:r>
          </w:p>
        </w:tc>
        <w:tc>
          <w:tcPr>
            <w:tcW w:w="2407" w:type="dxa"/>
            <w:tcBorders>
              <w:top w:val="nil"/>
              <w:left w:val="nil"/>
              <w:bottom w:val="nil"/>
              <w:right w:val="nil"/>
            </w:tcBorders>
            <w:shd w:val="clear" w:color="000000" w:fill="FFFFFF"/>
            <w:noWrap/>
            <w:vAlign w:val="bottom"/>
            <w:hideMark/>
          </w:tcPr>
          <w:p w14:paraId="251BC452" w14:textId="02387955"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0.082***</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0.020)</w:t>
            </w:r>
          </w:p>
        </w:tc>
      </w:tr>
      <w:tr w:rsidR="00F66C7C" w:rsidRPr="00FF40EA" w14:paraId="4A633D45" w14:textId="77777777" w:rsidTr="00E5508D">
        <w:trPr>
          <w:trHeight w:val="255"/>
        </w:trPr>
        <w:tc>
          <w:tcPr>
            <w:tcW w:w="3138" w:type="dxa"/>
            <w:tcBorders>
              <w:top w:val="nil"/>
              <w:left w:val="nil"/>
              <w:bottom w:val="nil"/>
              <w:right w:val="nil"/>
            </w:tcBorders>
            <w:shd w:val="clear" w:color="000000" w:fill="FFFFFF"/>
            <w:noWrap/>
            <w:vAlign w:val="bottom"/>
            <w:hideMark/>
          </w:tcPr>
          <w:p w14:paraId="08E61C1C"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7ED110F8" w14:textId="334D2D8C"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-0.0003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0.013)</w:t>
            </w:r>
          </w:p>
        </w:tc>
        <w:tc>
          <w:tcPr>
            <w:tcW w:w="2407" w:type="dxa"/>
            <w:tcBorders>
              <w:top w:val="nil"/>
              <w:left w:val="nil"/>
              <w:bottom w:val="nil"/>
              <w:right w:val="nil"/>
            </w:tcBorders>
            <w:shd w:val="clear" w:color="000000" w:fill="FFFFFF"/>
            <w:noWrap/>
            <w:vAlign w:val="bottom"/>
            <w:hideMark/>
          </w:tcPr>
          <w:p w14:paraId="35850024" w14:textId="13B02DD3"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-0.038**</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0.016)</w:t>
            </w:r>
          </w:p>
        </w:tc>
      </w:tr>
      <w:tr w:rsidR="00F66C7C" w:rsidRPr="00FF40EA" w14:paraId="12B8B770" w14:textId="77777777" w:rsidTr="00E5508D">
        <w:trPr>
          <w:trHeight w:val="255"/>
        </w:trPr>
        <w:tc>
          <w:tcPr>
            <w:tcW w:w="3138" w:type="dxa"/>
            <w:tcBorders>
              <w:top w:val="nil"/>
              <w:left w:val="nil"/>
              <w:bottom w:val="nil"/>
              <w:right w:val="nil"/>
            </w:tcBorders>
            <w:shd w:val="clear" w:color="000000" w:fill="FFFFFF"/>
            <w:noWrap/>
            <w:vAlign w:val="bottom"/>
            <w:hideMark/>
          </w:tcPr>
          <w:p w14:paraId="5C3251E3" w14:textId="77777777" w:rsidR="00F66C7C" w:rsidRPr="00FF40EA" w:rsidRDefault="00F66C7C" w:rsidP="00303F56">
            <w:pPr>
              <w:spacing w:line="240" w:lineRule="auto"/>
              <w:rPr>
                <w:rFonts w:eastAsia="Times New Roman" w:cs="Times New Roman"/>
                <w:color w:val="000000"/>
                <w:szCs w:val="24"/>
              </w:rPr>
            </w:pPr>
            <w:r>
              <w:rPr>
                <w:rFonts w:eastAsia="Times New Roman" w:cs="Times New Roman"/>
                <w:color w:val="000000"/>
                <w:szCs w:val="24"/>
              </w:rPr>
              <w:t>Homophily</w:t>
            </w:r>
          </w:p>
        </w:tc>
        <w:tc>
          <w:tcPr>
            <w:tcW w:w="2405" w:type="dxa"/>
            <w:tcBorders>
              <w:top w:val="nil"/>
              <w:left w:val="nil"/>
              <w:bottom w:val="nil"/>
              <w:right w:val="nil"/>
            </w:tcBorders>
            <w:shd w:val="clear" w:color="000000" w:fill="FFFFFF"/>
            <w:noWrap/>
            <w:vAlign w:val="bottom"/>
            <w:hideMark/>
          </w:tcPr>
          <w:p w14:paraId="117C58CB" w14:textId="5B365F2F"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-0.007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0.012)</w:t>
            </w:r>
          </w:p>
        </w:tc>
        <w:tc>
          <w:tcPr>
            <w:tcW w:w="2407" w:type="dxa"/>
            <w:tcBorders>
              <w:top w:val="nil"/>
              <w:left w:val="nil"/>
              <w:bottom w:val="nil"/>
              <w:right w:val="nil"/>
            </w:tcBorders>
            <w:shd w:val="clear" w:color="000000" w:fill="FFFFFF"/>
            <w:noWrap/>
            <w:vAlign w:val="bottom"/>
            <w:hideMark/>
          </w:tcPr>
          <w:p w14:paraId="6A6729BA" w14:textId="4779D31D"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-0.009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0.016)</w:t>
            </w:r>
          </w:p>
        </w:tc>
      </w:tr>
      <w:tr w:rsidR="00F66C7C" w:rsidRPr="00FF40EA" w14:paraId="3042DED1" w14:textId="77777777" w:rsidTr="00E5508D">
        <w:trPr>
          <w:trHeight w:val="255"/>
        </w:trPr>
        <w:tc>
          <w:tcPr>
            <w:tcW w:w="3138" w:type="dxa"/>
            <w:tcBorders>
              <w:top w:val="nil"/>
              <w:left w:val="nil"/>
              <w:bottom w:val="nil"/>
              <w:right w:val="nil"/>
            </w:tcBorders>
            <w:shd w:val="clear" w:color="000000" w:fill="FFFFFF"/>
            <w:noWrap/>
            <w:vAlign w:val="bottom"/>
            <w:hideMark/>
          </w:tcPr>
          <w:p w14:paraId="5362089F" w14:textId="77777777"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High School</w:t>
            </w:r>
          </w:p>
        </w:tc>
        <w:tc>
          <w:tcPr>
            <w:tcW w:w="2405" w:type="dxa"/>
            <w:tcBorders>
              <w:top w:val="nil"/>
              <w:left w:val="nil"/>
              <w:bottom w:val="nil"/>
              <w:right w:val="nil"/>
            </w:tcBorders>
            <w:shd w:val="clear" w:color="000000" w:fill="FFFFFF"/>
            <w:noWrap/>
            <w:vAlign w:val="bottom"/>
            <w:hideMark/>
          </w:tcPr>
          <w:p w14:paraId="72F199CB" w14:textId="13514E59"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39A5FF60" w14:textId="1F466F18" w:rsidR="00F66C7C" w:rsidRPr="00C20C2C" w:rsidRDefault="00F66C7C" w:rsidP="00861954">
            <w:pPr>
              <w:spacing w:line="240" w:lineRule="auto"/>
              <w:rPr>
                <w:rFonts w:eastAsia="Times New Roman" w:cs="Times New Roman"/>
                <w:color w:val="000000"/>
                <w:sz w:val="22"/>
              </w:rPr>
            </w:pPr>
          </w:p>
        </w:tc>
      </w:tr>
      <w:tr w:rsidR="00F66C7C" w:rsidRPr="00FF40EA" w14:paraId="19C57BAD" w14:textId="77777777" w:rsidTr="00E5508D">
        <w:trPr>
          <w:trHeight w:val="255"/>
        </w:trPr>
        <w:tc>
          <w:tcPr>
            <w:tcW w:w="3138" w:type="dxa"/>
            <w:tcBorders>
              <w:top w:val="nil"/>
              <w:left w:val="nil"/>
              <w:bottom w:val="nil"/>
              <w:right w:val="nil"/>
            </w:tcBorders>
            <w:shd w:val="clear" w:color="000000" w:fill="FFFFFF"/>
            <w:noWrap/>
            <w:vAlign w:val="bottom"/>
            <w:hideMark/>
          </w:tcPr>
          <w:p w14:paraId="106AC2B5"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6ABC57DE" w14:textId="2C8445CF"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0.298*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0.159)</w:t>
            </w:r>
          </w:p>
        </w:tc>
        <w:tc>
          <w:tcPr>
            <w:tcW w:w="2407" w:type="dxa"/>
            <w:tcBorders>
              <w:top w:val="nil"/>
              <w:left w:val="nil"/>
              <w:bottom w:val="nil"/>
              <w:right w:val="nil"/>
            </w:tcBorders>
            <w:shd w:val="clear" w:color="000000" w:fill="FFFFFF"/>
            <w:noWrap/>
            <w:vAlign w:val="bottom"/>
            <w:hideMark/>
          </w:tcPr>
          <w:p w14:paraId="5683CFBD" w14:textId="7777777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-0.585*** (0.151)</w:t>
            </w:r>
          </w:p>
        </w:tc>
      </w:tr>
      <w:tr w:rsidR="00F66C7C" w:rsidRPr="00FF40EA" w14:paraId="002018F2" w14:textId="77777777" w:rsidTr="00E5508D">
        <w:trPr>
          <w:trHeight w:val="255"/>
        </w:trPr>
        <w:tc>
          <w:tcPr>
            <w:tcW w:w="3138" w:type="dxa"/>
            <w:tcBorders>
              <w:top w:val="nil"/>
              <w:left w:val="nil"/>
              <w:bottom w:val="nil"/>
              <w:right w:val="nil"/>
            </w:tcBorders>
            <w:shd w:val="clear" w:color="000000" w:fill="FFFFFF"/>
            <w:noWrap/>
            <w:vAlign w:val="bottom"/>
            <w:hideMark/>
          </w:tcPr>
          <w:p w14:paraId="4826528C"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01398F44" w14:textId="65664C8D"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-0.230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0.157)</w:t>
            </w:r>
          </w:p>
        </w:tc>
        <w:tc>
          <w:tcPr>
            <w:tcW w:w="2407" w:type="dxa"/>
            <w:tcBorders>
              <w:top w:val="nil"/>
              <w:left w:val="nil"/>
              <w:bottom w:val="nil"/>
              <w:right w:val="nil"/>
            </w:tcBorders>
            <w:shd w:val="clear" w:color="000000" w:fill="FFFFFF"/>
            <w:noWrap/>
            <w:vAlign w:val="bottom"/>
            <w:hideMark/>
          </w:tcPr>
          <w:p w14:paraId="1839E558" w14:textId="7AD78F86"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0.278**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0.123)</w:t>
            </w:r>
          </w:p>
        </w:tc>
      </w:tr>
      <w:tr w:rsidR="00F66C7C" w:rsidRPr="00FF40EA" w14:paraId="6419E657" w14:textId="77777777" w:rsidTr="00E5508D">
        <w:trPr>
          <w:trHeight w:val="255"/>
        </w:trPr>
        <w:tc>
          <w:tcPr>
            <w:tcW w:w="3138" w:type="dxa"/>
            <w:tcBorders>
              <w:top w:val="nil"/>
              <w:left w:val="nil"/>
              <w:bottom w:val="nil"/>
              <w:right w:val="nil"/>
            </w:tcBorders>
            <w:shd w:val="clear" w:color="000000" w:fill="FFFFFF"/>
            <w:noWrap/>
            <w:vAlign w:val="bottom"/>
            <w:hideMark/>
          </w:tcPr>
          <w:p w14:paraId="6A69AED3" w14:textId="77777777" w:rsidR="00F66C7C" w:rsidRPr="00FF40EA" w:rsidRDefault="00F66C7C" w:rsidP="00303F56">
            <w:pPr>
              <w:spacing w:line="240" w:lineRule="auto"/>
              <w:rPr>
                <w:rFonts w:eastAsia="Times New Roman" w:cs="Times New Roman"/>
                <w:color w:val="000000"/>
                <w:szCs w:val="24"/>
              </w:rPr>
            </w:pPr>
            <w:r>
              <w:rPr>
                <w:rFonts w:eastAsia="Times New Roman" w:cs="Times New Roman"/>
                <w:color w:val="000000"/>
                <w:szCs w:val="24"/>
              </w:rPr>
              <w:t>Homophily</w:t>
            </w:r>
          </w:p>
        </w:tc>
        <w:tc>
          <w:tcPr>
            <w:tcW w:w="2405" w:type="dxa"/>
            <w:tcBorders>
              <w:top w:val="nil"/>
              <w:left w:val="nil"/>
              <w:bottom w:val="nil"/>
              <w:right w:val="nil"/>
            </w:tcBorders>
            <w:shd w:val="clear" w:color="000000" w:fill="FFFFFF"/>
            <w:noWrap/>
            <w:vAlign w:val="bottom"/>
            <w:hideMark/>
          </w:tcPr>
          <w:p w14:paraId="7364D1F8" w14:textId="5892E462"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0.052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0.139)</w:t>
            </w:r>
          </w:p>
        </w:tc>
        <w:tc>
          <w:tcPr>
            <w:tcW w:w="2407" w:type="dxa"/>
            <w:tcBorders>
              <w:top w:val="nil"/>
              <w:left w:val="nil"/>
              <w:bottom w:val="nil"/>
              <w:right w:val="nil"/>
            </w:tcBorders>
            <w:shd w:val="clear" w:color="000000" w:fill="FFFFFF"/>
            <w:noWrap/>
            <w:vAlign w:val="bottom"/>
            <w:hideMark/>
          </w:tcPr>
          <w:p w14:paraId="7DD80A8E" w14:textId="7AE6539C"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0.100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0.113)</w:t>
            </w:r>
          </w:p>
        </w:tc>
      </w:tr>
      <w:tr w:rsidR="00F66C7C" w:rsidRPr="00FF40EA" w14:paraId="27320FD8" w14:textId="77777777" w:rsidTr="00E5508D">
        <w:trPr>
          <w:trHeight w:val="255"/>
        </w:trPr>
        <w:tc>
          <w:tcPr>
            <w:tcW w:w="3138" w:type="dxa"/>
            <w:tcBorders>
              <w:top w:val="nil"/>
              <w:left w:val="nil"/>
              <w:bottom w:val="nil"/>
              <w:right w:val="nil"/>
            </w:tcBorders>
            <w:shd w:val="clear" w:color="000000" w:fill="FFFFFF"/>
            <w:noWrap/>
            <w:vAlign w:val="bottom"/>
            <w:hideMark/>
          </w:tcPr>
          <w:p w14:paraId="50A68214" w14:textId="77777777" w:rsidR="00F66C7C" w:rsidRPr="00FF40EA" w:rsidRDefault="00F66C7C" w:rsidP="00303F56">
            <w:pPr>
              <w:spacing w:line="240" w:lineRule="auto"/>
              <w:rPr>
                <w:rFonts w:eastAsia="Times New Roman" w:cs="Times New Roman"/>
                <w:b/>
                <w:bCs/>
                <w:color w:val="000000"/>
                <w:szCs w:val="24"/>
                <w:u w:val="single"/>
              </w:rPr>
            </w:pPr>
            <w:r w:rsidRPr="00FF40EA">
              <w:rPr>
                <w:rFonts w:eastAsia="Times New Roman" w:cs="Times New Roman"/>
                <w:b/>
                <w:bCs/>
                <w:color w:val="000000"/>
                <w:szCs w:val="24"/>
                <w:u w:val="single"/>
              </w:rPr>
              <w:t>Age</w:t>
            </w:r>
          </w:p>
        </w:tc>
        <w:tc>
          <w:tcPr>
            <w:tcW w:w="2405" w:type="dxa"/>
            <w:tcBorders>
              <w:top w:val="nil"/>
              <w:left w:val="nil"/>
              <w:bottom w:val="nil"/>
              <w:right w:val="nil"/>
            </w:tcBorders>
            <w:shd w:val="clear" w:color="000000" w:fill="FFFFFF"/>
            <w:noWrap/>
            <w:vAlign w:val="bottom"/>
            <w:hideMark/>
          </w:tcPr>
          <w:p w14:paraId="1ED91761" w14:textId="74878E32" w:rsidR="00F66C7C" w:rsidRPr="00C20C2C" w:rsidRDefault="00F66C7C" w:rsidP="00861954">
            <w:pPr>
              <w:spacing w:line="240" w:lineRule="auto"/>
              <w:rPr>
                <w:rFonts w:eastAsia="Times New Roman" w:cs="Times New Roman"/>
                <w:color w:val="000000"/>
                <w:sz w:val="22"/>
              </w:rPr>
            </w:pPr>
          </w:p>
        </w:tc>
        <w:tc>
          <w:tcPr>
            <w:tcW w:w="2407" w:type="dxa"/>
            <w:tcBorders>
              <w:top w:val="nil"/>
              <w:left w:val="nil"/>
              <w:bottom w:val="nil"/>
              <w:right w:val="nil"/>
            </w:tcBorders>
            <w:shd w:val="clear" w:color="000000" w:fill="FFFFFF"/>
            <w:noWrap/>
            <w:vAlign w:val="bottom"/>
            <w:hideMark/>
          </w:tcPr>
          <w:p w14:paraId="09629D1D" w14:textId="085A1567" w:rsidR="00F66C7C" w:rsidRPr="00C20C2C" w:rsidRDefault="00F66C7C" w:rsidP="00861954">
            <w:pPr>
              <w:spacing w:line="240" w:lineRule="auto"/>
              <w:rPr>
                <w:rFonts w:eastAsia="Times New Roman" w:cs="Times New Roman"/>
                <w:color w:val="000000"/>
                <w:sz w:val="22"/>
              </w:rPr>
            </w:pPr>
          </w:p>
        </w:tc>
      </w:tr>
      <w:tr w:rsidR="00F66C7C" w:rsidRPr="00FF40EA" w14:paraId="67319EAF" w14:textId="77777777" w:rsidTr="00E5508D">
        <w:trPr>
          <w:trHeight w:val="255"/>
        </w:trPr>
        <w:tc>
          <w:tcPr>
            <w:tcW w:w="3138" w:type="dxa"/>
            <w:tcBorders>
              <w:top w:val="nil"/>
              <w:left w:val="nil"/>
              <w:bottom w:val="nil"/>
              <w:right w:val="nil"/>
            </w:tcBorders>
            <w:shd w:val="clear" w:color="000000" w:fill="FFFFFF"/>
            <w:noWrap/>
            <w:vAlign w:val="bottom"/>
            <w:hideMark/>
          </w:tcPr>
          <w:p w14:paraId="46968EAF" w14:textId="7777777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Sender</w:t>
            </w:r>
          </w:p>
        </w:tc>
        <w:tc>
          <w:tcPr>
            <w:tcW w:w="2405" w:type="dxa"/>
            <w:tcBorders>
              <w:top w:val="nil"/>
              <w:left w:val="nil"/>
              <w:bottom w:val="nil"/>
              <w:right w:val="nil"/>
            </w:tcBorders>
            <w:shd w:val="clear" w:color="000000" w:fill="FFFFFF"/>
            <w:noWrap/>
            <w:vAlign w:val="bottom"/>
            <w:hideMark/>
          </w:tcPr>
          <w:p w14:paraId="18ECB8C7" w14:textId="1BF476E4"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0.012*</w:t>
            </w:r>
            <w:proofErr w:type="gramStart"/>
            <w:r w:rsidRPr="00C20C2C">
              <w:rPr>
                <w:rFonts w:eastAsia="Times New Roman" w:cs="Times New Roman"/>
                <w:color w:val="000000"/>
                <w:sz w:val="22"/>
              </w:rPr>
              <w:t xml:space="preserve">* </w:t>
            </w:r>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0.005)</w:t>
            </w:r>
          </w:p>
        </w:tc>
        <w:tc>
          <w:tcPr>
            <w:tcW w:w="2407" w:type="dxa"/>
            <w:tcBorders>
              <w:top w:val="nil"/>
              <w:left w:val="nil"/>
              <w:bottom w:val="nil"/>
              <w:right w:val="nil"/>
            </w:tcBorders>
            <w:shd w:val="clear" w:color="000000" w:fill="FFFFFF"/>
            <w:noWrap/>
            <w:vAlign w:val="bottom"/>
            <w:hideMark/>
          </w:tcPr>
          <w:p w14:paraId="4C795EAB" w14:textId="267D5E6B"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0.012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0.008)</w:t>
            </w:r>
          </w:p>
        </w:tc>
      </w:tr>
      <w:tr w:rsidR="00F66C7C" w:rsidRPr="00FF40EA" w14:paraId="70459342" w14:textId="77777777" w:rsidTr="00E5508D">
        <w:trPr>
          <w:trHeight w:val="255"/>
        </w:trPr>
        <w:tc>
          <w:tcPr>
            <w:tcW w:w="3138" w:type="dxa"/>
            <w:tcBorders>
              <w:top w:val="nil"/>
              <w:left w:val="nil"/>
              <w:bottom w:val="nil"/>
              <w:right w:val="nil"/>
            </w:tcBorders>
            <w:shd w:val="clear" w:color="000000" w:fill="FFFFFF"/>
            <w:noWrap/>
            <w:vAlign w:val="bottom"/>
            <w:hideMark/>
          </w:tcPr>
          <w:p w14:paraId="75A1943C" w14:textId="36B5F207" w:rsidR="00F66C7C" w:rsidRPr="00FF40EA" w:rsidRDefault="00F66C7C" w:rsidP="00303F56">
            <w:pPr>
              <w:spacing w:line="240" w:lineRule="auto"/>
              <w:rPr>
                <w:rFonts w:eastAsia="Times New Roman" w:cs="Times New Roman"/>
                <w:color w:val="000000"/>
                <w:szCs w:val="24"/>
              </w:rPr>
            </w:pPr>
            <w:r w:rsidRPr="00FF40EA">
              <w:rPr>
                <w:rFonts w:eastAsia="Times New Roman" w:cs="Times New Roman"/>
                <w:color w:val="000000"/>
                <w:szCs w:val="24"/>
              </w:rPr>
              <w:t>Receiver</w:t>
            </w:r>
          </w:p>
        </w:tc>
        <w:tc>
          <w:tcPr>
            <w:tcW w:w="2405" w:type="dxa"/>
            <w:tcBorders>
              <w:top w:val="nil"/>
              <w:left w:val="nil"/>
              <w:bottom w:val="nil"/>
              <w:right w:val="nil"/>
            </w:tcBorders>
            <w:shd w:val="clear" w:color="000000" w:fill="FFFFFF"/>
            <w:noWrap/>
            <w:vAlign w:val="bottom"/>
            <w:hideMark/>
          </w:tcPr>
          <w:p w14:paraId="52C0BAE1" w14:textId="0BAEAF44"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-0.001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0.005)</w:t>
            </w:r>
          </w:p>
        </w:tc>
        <w:tc>
          <w:tcPr>
            <w:tcW w:w="2407" w:type="dxa"/>
            <w:tcBorders>
              <w:top w:val="nil"/>
              <w:left w:val="nil"/>
              <w:bottom w:val="nil"/>
              <w:right w:val="nil"/>
            </w:tcBorders>
            <w:shd w:val="clear" w:color="000000" w:fill="FFFFFF"/>
            <w:noWrap/>
            <w:vAlign w:val="bottom"/>
            <w:hideMark/>
          </w:tcPr>
          <w:p w14:paraId="46CE37F5" w14:textId="1A0B8DE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-0.007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0.007)</w:t>
            </w:r>
          </w:p>
        </w:tc>
      </w:tr>
      <w:tr w:rsidR="00F66C7C" w:rsidRPr="00FF40EA" w14:paraId="69D91576" w14:textId="77777777" w:rsidTr="00E5508D">
        <w:trPr>
          <w:trHeight w:val="255"/>
        </w:trPr>
        <w:tc>
          <w:tcPr>
            <w:tcW w:w="3138" w:type="dxa"/>
            <w:tcBorders>
              <w:top w:val="nil"/>
              <w:left w:val="nil"/>
              <w:bottom w:val="single" w:sz="4" w:space="0" w:color="auto"/>
              <w:right w:val="nil"/>
            </w:tcBorders>
            <w:shd w:val="clear" w:color="000000" w:fill="FFFFFF"/>
            <w:noWrap/>
            <w:vAlign w:val="bottom"/>
            <w:hideMark/>
          </w:tcPr>
          <w:p w14:paraId="382F4257" w14:textId="77777777" w:rsidR="00F66C7C" w:rsidRPr="00FF40EA" w:rsidRDefault="00F66C7C" w:rsidP="00303F56">
            <w:pPr>
              <w:spacing w:line="240" w:lineRule="auto"/>
              <w:rPr>
                <w:rFonts w:eastAsia="Times New Roman" w:cs="Times New Roman"/>
                <w:color w:val="000000"/>
                <w:szCs w:val="24"/>
              </w:rPr>
            </w:pPr>
            <w:r>
              <w:rPr>
                <w:rFonts w:eastAsia="Times New Roman" w:cs="Times New Roman"/>
                <w:color w:val="000000"/>
                <w:szCs w:val="24"/>
              </w:rPr>
              <w:t>Homophily</w:t>
            </w:r>
          </w:p>
        </w:tc>
        <w:tc>
          <w:tcPr>
            <w:tcW w:w="2405" w:type="dxa"/>
            <w:tcBorders>
              <w:top w:val="nil"/>
              <w:left w:val="nil"/>
              <w:bottom w:val="single" w:sz="4" w:space="0" w:color="auto"/>
              <w:right w:val="nil"/>
            </w:tcBorders>
            <w:shd w:val="clear" w:color="000000" w:fill="FFFFFF"/>
            <w:noWrap/>
            <w:vAlign w:val="bottom"/>
            <w:hideMark/>
          </w:tcPr>
          <w:p w14:paraId="0810C4B9" w14:textId="7FB8EE5D"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 xml:space="preserve">-0.01* </w:t>
            </w:r>
            <w:r w:rsidR="004E0DA3">
              <w:rPr>
                <w:rFonts w:eastAsia="Times New Roman" w:cs="Times New Roman"/>
                <w:color w:val="000000"/>
                <w:sz w:val="22"/>
              </w:rPr>
              <w:t xml:space="preserve"> </w:t>
            </w:r>
            <w:proofErr w:type="gramStart"/>
            <w:r w:rsidR="004E0DA3">
              <w:rPr>
                <w:rFonts w:eastAsia="Times New Roman" w:cs="Times New Roman"/>
                <w:color w:val="000000"/>
                <w:sz w:val="22"/>
              </w:rPr>
              <w:t xml:space="preserve">   </w:t>
            </w:r>
            <w:r w:rsidRPr="00C20C2C">
              <w:rPr>
                <w:rFonts w:eastAsia="Times New Roman" w:cs="Times New Roman"/>
                <w:color w:val="000000"/>
                <w:sz w:val="22"/>
              </w:rPr>
              <w:t>(</w:t>
            </w:r>
            <w:proofErr w:type="gramEnd"/>
            <w:r w:rsidRPr="00C20C2C">
              <w:rPr>
                <w:rFonts w:eastAsia="Times New Roman" w:cs="Times New Roman"/>
                <w:color w:val="000000"/>
                <w:sz w:val="22"/>
              </w:rPr>
              <w:t>0.005)</w:t>
            </w:r>
          </w:p>
        </w:tc>
        <w:tc>
          <w:tcPr>
            <w:tcW w:w="2407" w:type="dxa"/>
            <w:tcBorders>
              <w:top w:val="nil"/>
              <w:left w:val="nil"/>
              <w:bottom w:val="single" w:sz="4" w:space="0" w:color="auto"/>
              <w:right w:val="nil"/>
            </w:tcBorders>
            <w:shd w:val="clear" w:color="000000" w:fill="FFFFFF"/>
            <w:noWrap/>
            <w:vAlign w:val="bottom"/>
            <w:hideMark/>
          </w:tcPr>
          <w:p w14:paraId="06579AC4" w14:textId="77777777" w:rsidR="00F66C7C" w:rsidRPr="00C20C2C" w:rsidRDefault="00F66C7C" w:rsidP="00861954">
            <w:pPr>
              <w:spacing w:line="240" w:lineRule="auto"/>
              <w:rPr>
                <w:rFonts w:eastAsia="Times New Roman" w:cs="Times New Roman"/>
                <w:color w:val="000000"/>
                <w:sz w:val="22"/>
              </w:rPr>
            </w:pPr>
            <w:r w:rsidRPr="00C20C2C">
              <w:rPr>
                <w:rFonts w:eastAsia="Times New Roman" w:cs="Times New Roman"/>
                <w:color w:val="000000"/>
                <w:sz w:val="22"/>
              </w:rPr>
              <w:t>-0.021*** (0.007)</w:t>
            </w:r>
          </w:p>
        </w:tc>
      </w:tr>
      <w:tr w:rsidR="00F66C7C" w:rsidRPr="00FF40EA" w14:paraId="0B1C5701" w14:textId="77777777" w:rsidTr="00E5508D">
        <w:trPr>
          <w:trHeight w:val="244"/>
        </w:trPr>
        <w:tc>
          <w:tcPr>
            <w:tcW w:w="7950" w:type="dxa"/>
            <w:gridSpan w:val="3"/>
            <w:tcBorders>
              <w:top w:val="nil"/>
              <w:left w:val="nil"/>
              <w:bottom w:val="nil"/>
              <w:right w:val="nil"/>
            </w:tcBorders>
            <w:shd w:val="clear" w:color="000000" w:fill="FFFFFF"/>
            <w:noWrap/>
            <w:vAlign w:val="bottom"/>
            <w:hideMark/>
          </w:tcPr>
          <w:p w14:paraId="48193BEA" w14:textId="77777777" w:rsidR="00F66C7C" w:rsidRPr="00FF40EA" w:rsidRDefault="00F66C7C" w:rsidP="00E5508D">
            <w:pPr>
              <w:spacing w:line="240" w:lineRule="auto"/>
              <w:rPr>
                <w:rFonts w:eastAsia="Times New Roman" w:cs="Times New Roman"/>
                <w:color w:val="000000"/>
                <w:sz w:val="20"/>
                <w:szCs w:val="20"/>
              </w:rPr>
            </w:pPr>
            <w:r w:rsidRPr="00FF40EA">
              <w:rPr>
                <w:rFonts w:eastAsia="Times New Roman" w:cs="Times New Roman"/>
                <w:color w:val="000000"/>
                <w:sz w:val="20"/>
                <w:szCs w:val="20"/>
              </w:rPr>
              <w:t xml:space="preserve">* </w:t>
            </w:r>
            <w:r w:rsidRPr="00FF40EA">
              <w:rPr>
                <w:rFonts w:eastAsia="Times New Roman" w:cs="Times New Roman"/>
                <w:i/>
                <w:iCs/>
                <w:color w:val="000000"/>
                <w:sz w:val="20"/>
                <w:szCs w:val="20"/>
              </w:rPr>
              <w:t xml:space="preserve">p </w:t>
            </w:r>
            <w:r w:rsidRPr="00FF40EA">
              <w:rPr>
                <w:rFonts w:eastAsia="Times New Roman" w:cs="Times New Roman"/>
                <w:color w:val="000000"/>
                <w:sz w:val="20"/>
                <w:szCs w:val="20"/>
              </w:rPr>
              <w:t xml:space="preserve">&lt;0.1; ** </w:t>
            </w:r>
            <w:r w:rsidRPr="00FF40EA">
              <w:rPr>
                <w:rFonts w:eastAsia="Times New Roman" w:cs="Times New Roman"/>
                <w:i/>
                <w:iCs/>
                <w:color w:val="000000"/>
                <w:sz w:val="20"/>
                <w:szCs w:val="20"/>
              </w:rPr>
              <w:t>p</w:t>
            </w:r>
            <w:r w:rsidRPr="00FF40EA">
              <w:rPr>
                <w:rFonts w:eastAsia="Times New Roman" w:cs="Times New Roman"/>
                <w:color w:val="000000"/>
                <w:sz w:val="20"/>
                <w:szCs w:val="20"/>
              </w:rPr>
              <w:t xml:space="preserve"> &lt;0.05; *** </w:t>
            </w:r>
            <w:r w:rsidRPr="00FF40EA">
              <w:rPr>
                <w:rFonts w:eastAsia="Times New Roman" w:cs="Times New Roman"/>
                <w:i/>
                <w:iCs/>
                <w:color w:val="000000"/>
                <w:sz w:val="20"/>
                <w:szCs w:val="20"/>
              </w:rPr>
              <w:t xml:space="preserve">p </w:t>
            </w:r>
            <w:r w:rsidRPr="00FF40EA">
              <w:rPr>
                <w:rFonts w:eastAsia="Times New Roman" w:cs="Times New Roman"/>
                <w:color w:val="000000"/>
                <w:sz w:val="20"/>
                <w:szCs w:val="20"/>
              </w:rPr>
              <w:t>&lt;0.01;</w:t>
            </w:r>
            <w:r w:rsidRPr="00FF40EA">
              <w:rPr>
                <w:rFonts w:eastAsia="Times New Roman" w:cs="Times New Roman"/>
                <w:i/>
                <w:iCs/>
                <w:color w:val="000000"/>
                <w:sz w:val="20"/>
                <w:szCs w:val="20"/>
              </w:rPr>
              <w:t xml:space="preserve"> </w:t>
            </w:r>
            <w:proofErr w:type="spellStart"/>
            <w:r w:rsidRPr="00FF40EA">
              <w:rPr>
                <w:rFonts w:eastAsia="Times New Roman" w:cs="Times New Roman"/>
                <w:i/>
                <w:iCs/>
                <w:color w:val="000000"/>
                <w:sz w:val="20"/>
                <w:szCs w:val="20"/>
              </w:rPr>
              <w:t>gwidegree</w:t>
            </w:r>
            <w:proofErr w:type="spellEnd"/>
            <w:r w:rsidRPr="00FF40EA">
              <w:rPr>
                <w:rFonts w:eastAsia="Times New Roman" w:cs="Times New Roman"/>
                <w:i/>
                <w:iCs/>
                <w:color w:val="000000"/>
                <w:sz w:val="20"/>
                <w:szCs w:val="20"/>
              </w:rPr>
              <w:t xml:space="preserve"> and </w:t>
            </w:r>
            <w:proofErr w:type="spellStart"/>
            <w:r w:rsidRPr="00FF40EA">
              <w:rPr>
                <w:rFonts w:eastAsia="Times New Roman" w:cs="Times New Roman"/>
                <w:i/>
                <w:iCs/>
                <w:color w:val="000000"/>
                <w:sz w:val="20"/>
                <w:szCs w:val="20"/>
              </w:rPr>
              <w:t>gwodegree</w:t>
            </w:r>
            <w:proofErr w:type="spellEnd"/>
            <w:r w:rsidRPr="00FF40EA">
              <w:rPr>
                <w:rFonts w:eastAsia="Times New Roman" w:cs="Times New Roman"/>
                <w:i/>
                <w:iCs/>
                <w:color w:val="000000"/>
                <w:sz w:val="20"/>
                <w:szCs w:val="20"/>
              </w:rPr>
              <w:t xml:space="preserve"> decay factor = .05</w:t>
            </w:r>
          </w:p>
        </w:tc>
      </w:tr>
    </w:tbl>
    <w:p w14:paraId="5942706B" w14:textId="77777777" w:rsidR="00F66C7C" w:rsidRDefault="00F66C7C" w:rsidP="00F66C7C">
      <w:pPr>
        <w:pStyle w:val="Heading1"/>
      </w:pPr>
    </w:p>
    <w:p w14:paraId="7C544344" w14:textId="77777777" w:rsidR="002B42F7" w:rsidRDefault="002B42F7" w:rsidP="002B42F7">
      <w:pPr>
        <w:ind w:firstLine="720"/>
        <w:rPr>
          <w:rFonts w:ascii="Times" w:eastAsia="Times" w:hAnsi="Times" w:cs="Times"/>
          <w:color w:val="000000" w:themeColor="text1"/>
          <w:szCs w:val="24"/>
        </w:rPr>
      </w:pPr>
      <w:r w:rsidRPr="1254F758">
        <w:rPr>
          <w:rFonts w:ascii="Times" w:eastAsia="Times" w:hAnsi="Times" w:cs="Times"/>
          <w:color w:val="000000" w:themeColor="text1"/>
          <w:szCs w:val="24"/>
        </w:rPr>
        <w:t>Individuals in treatment or recovery may seek out support, potentially from others with similar experiences to share in challenges they face. In the prison setting it is possible that individuals with similar histories may participate in similar programming and thus spend more time together, although the evidence for homophily in this sample was not universal. This aligns with prior ethnographic works which suggest one way</w:t>
      </w:r>
      <w:r>
        <w:rPr>
          <w:rFonts w:ascii="Times" w:eastAsia="Times" w:hAnsi="Times" w:cs="Times"/>
          <w:color w:val="000000" w:themeColor="text1"/>
          <w:szCs w:val="24"/>
        </w:rPr>
        <w:t xml:space="preserve"> that</w:t>
      </w:r>
      <w:r w:rsidRPr="1254F758">
        <w:rPr>
          <w:rFonts w:ascii="Times" w:eastAsia="Times" w:hAnsi="Times" w:cs="Times"/>
          <w:color w:val="000000" w:themeColor="text1"/>
          <w:szCs w:val="24"/>
        </w:rPr>
        <w:t xml:space="preserve"> imprisoned women navigate the pains o imprisonment is through supportive relationships with other prisoners and connecting over shared hardship. But how these relationships are perceived by both members in a dyad appears to be less universal.</w:t>
      </w:r>
    </w:p>
    <w:p w14:paraId="47A57C71" w14:textId="77777777" w:rsidR="002B42F7" w:rsidRDefault="002B42F7" w:rsidP="002B42F7">
      <w:pPr>
        <w:ind w:firstLine="720"/>
        <w:rPr>
          <w:rFonts w:ascii="Times" w:eastAsia="Times" w:hAnsi="Times" w:cs="Times"/>
          <w:color w:val="000000" w:themeColor="text1"/>
          <w:szCs w:val="24"/>
        </w:rPr>
      </w:pPr>
      <w:r w:rsidRPr="1254F758">
        <w:rPr>
          <w:rFonts w:ascii="Times" w:eastAsia="Times" w:hAnsi="Times" w:cs="Times"/>
          <w:color w:val="000000" w:themeColor="text1"/>
          <w:szCs w:val="24"/>
        </w:rPr>
        <w:t>These findings underscore the benefit of exploring the experience and social organization of incarcerated individuals using social networks methods. Traditional regressive techniques can predict feelings of social integration, instances of misconduct, or counts of perceived friendships. But social network analysis allows the researcher to operationalize social structures using an aggregation of relational data collected from individual respondents. With this, we can then draw on prior literature and test hypotheses about social structures and tie formation to further understand how and why network members adapt to imprisonment and organize themselves.</w:t>
      </w:r>
    </w:p>
    <w:p w14:paraId="32A3D4E4" w14:textId="215D47E6" w:rsidR="002B42F7" w:rsidRDefault="002B42F7" w:rsidP="7EE7250F">
      <w:pPr>
        <w:ind w:firstLine="720"/>
        <w:rPr>
          <w:rFonts w:ascii="Times" w:eastAsia="Times" w:hAnsi="Times" w:cs="Times"/>
          <w:color w:val="000000" w:themeColor="text1"/>
        </w:rPr>
      </w:pPr>
      <w:r w:rsidRPr="7EE7250F">
        <w:rPr>
          <w:rFonts w:ascii="Times" w:eastAsia="Times" w:hAnsi="Times" w:cs="Times"/>
          <w:color w:val="000000" w:themeColor="text1"/>
        </w:rPr>
        <w:t xml:space="preserve">A finding that is difficult to uncover without the use of social network analysis relates to the reciprocity of friendship ties. The reciprocity parameter indicated ties were more likely to be reciprocated in the observed network than by chance.  However, women in both units who survived victimization in childhood were significantly more likely to send friendship ties but were less likely to receive them. This pattern indicates a mismatch in the relationships perceived or experienced by these individuals. One </w:t>
      </w:r>
      <w:r w:rsidR="2F35A49C" w:rsidRPr="7EE7250F">
        <w:rPr>
          <w:rFonts w:ascii="Times" w:eastAsia="Times" w:hAnsi="Times" w:cs="Times"/>
          <w:color w:val="000000" w:themeColor="text1"/>
        </w:rPr>
        <w:t>explanation</w:t>
      </w:r>
      <w:r w:rsidRPr="7EE7250F">
        <w:rPr>
          <w:rFonts w:ascii="Times" w:eastAsia="Times" w:hAnsi="Times" w:cs="Times"/>
          <w:color w:val="000000" w:themeColor="text1"/>
        </w:rPr>
        <w:t xml:space="preserve"> is that early experiences of victimization affect the psychosocial development of children, often diminishing their capacity to regulate emotions, control impulses, conform to social norms, and develop healthy relationships with others. Women who experienced childhood victimization may perceive certain interactions as indicative of friendship that were of lesser importance to those around them. Another explanation is that women who did not experience victimization during childhood are perceiving survivors as harder to relate to. </w:t>
      </w:r>
    </w:p>
    <w:p w14:paraId="54ACE882" w14:textId="3BB742C7" w:rsidR="006D1107" w:rsidRDefault="006D1107">
      <w:pPr>
        <w:pStyle w:val="Heading2"/>
      </w:pPr>
      <w:r>
        <w:t xml:space="preserve">PHASE 2 </w:t>
      </w:r>
      <w:r w:rsidR="00721FF6">
        <w:t>RESULTS</w:t>
      </w:r>
    </w:p>
    <w:p w14:paraId="7185CE49" w14:textId="5DAA6A93" w:rsidR="001F2F2A" w:rsidRDefault="00D94022" w:rsidP="001F2F2A">
      <w:r>
        <w:t xml:space="preserve">Phase 2 consisted of 22 respondents from the first prison and 63 respondents from the second prison completing pre-release prison interviews. </w:t>
      </w:r>
      <w:r w:rsidR="001F2F2A" w:rsidRPr="00B76C26">
        <w:t xml:space="preserve">Qualitative analysis of Phase 2 </w:t>
      </w:r>
      <w:r w:rsidR="00B76C26">
        <w:t xml:space="preserve">data </w:t>
      </w:r>
      <w:r w:rsidR="001F2F2A" w:rsidRPr="00B76C26">
        <w:t>is ongoing</w:t>
      </w:r>
      <w:r w:rsidRPr="00B76C26">
        <w:t>; all interviews have been broadly coded following a flexible coding technique by two coders and in-depth analysis is currently underway</w:t>
      </w:r>
      <w:r w:rsidR="001F2F2A" w:rsidRPr="00B76C26">
        <w:t xml:space="preserve">. </w:t>
      </w:r>
      <w:r w:rsidRPr="00B76C26">
        <w:t>Our first</w:t>
      </w:r>
      <w:r>
        <w:t xml:space="preserve"> pass at coding</w:t>
      </w:r>
      <w:r w:rsidR="001F2F2A">
        <w:t xml:space="preserve"> </w:t>
      </w:r>
      <w:r>
        <w:t>followed</w:t>
      </w:r>
      <w:r w:rsidR="001F2F2A">
        <w:t xml:space="preserve"> major themes from the structured interview</w:t>
      </w:r>
      <w:r>
        <w:t xml:space="preserve"> and additional codes were added </w:t>
      </w:r>
      <w:r w:rsidR="00873FF7">
        <w:t>following an initial review of the interview transcripts</w:t>
      </w:r>
      <w:r w:rsidR="001F2F2A">
        <w:t xml:space="preserve">. </w:t>
      </w:r>
      <w:r w:rsidR="00437113">
        <w:t>The pre-release interview</w:t>
      </w:r>
      <w:r w:rsidR="00873FF7">
        <w:t xml:space="preserve"> codes</w:t>
      </w:r>
      <w:r w:rsidR="00437113">
        <w:t xml:space="preserve"> cover</w:t>
      </w:r>
      <w:r w:rsidR="00B76C26">
        <w:t>ed</w:t>
      </w:r>
      <w:r w:rsidR="00437113">
        <w:t xml:space="preserve"> three broad topics: 1) Pathways to prison and early life experiences, 2) In-prison experiences, and 3) Expectations for release. Each broad theme was further coded into sub-themes, generated from the structured interview and developed inductively by coders. After initial </w:t>
      </w:r>
      <w:r w:rsidR="001F2F2A">
        <w:t xml:space="preserve">coding, each interview </w:t>
      </w:r>
      <w:r w:rsidR="00B76C26">
        <w:t>was</w:t>
      </w:r>
      <w:r w:rsidR="001F2F2A">
        <w:t xml:space="preserve"> broadly summarized by theme</w:t>
      </w:r>
      <w:r w:rsidR="00437113">
        <w:t xml:space="preserve"> and sub-theme, allowing comparisons across respondents</w:t>
      </w:r>
      <w:r w:rsidR="00873FF7">
        <w:t xml:space="preserve"> to facilitate </w:t>
      </w:r>
      <w:r w:rsidR="00AB552E">
        <w:t xml:space="preserve">axial coding and further </w:t>
      </w:r>
      <w:r w:rsidR="00873FF7">
        <w:t>in-depth analysis</w:t>
      </w:r>
      <w:r w:rsidR="00437113">
        <w:t>.</w:t>
      </w:r>
      <w:r w:rsidR="001F2F2A">
        <w:t xml:space="preserve"> Figure </w:t>
      </w:r>
      <w:r w:rsidR="00227026">
        <w:t xml:space="preserve">3 </w:t>
      </w:r>
      <w:r w:rsidR="001F2F2A">
        <w:t xml:space="preserve">below </w:t>
      </w:r>
      <w:r w:rsidR="00437113">
        <w:t xml:space="preserve">offers </w:t>
      </w:r>
      <w:r w:rsidR="001F2F2A">
        <w:t xml:space="preserve">an example of summary codes for </w:t>
      </w:r>
      <w:r w:rsidR="00437113">
        <w:t xml:space="preserve">sub-themes in the </w:t>
      </w:r>
      <w:r w:rsidR="001F2F2A">
        <w:t>“Expectations for Reentry”</w:t>
      </w:r>
      <w:r w:rsidR="00437113">
        <w:t xml:space="preserve"> theme; the scale of each section in the figure corresponds to the portion of interviews devoted to each topic. Among women about to be released from prison, for example, expectations for reentry broadly centered on concerns related to social </w:t>
      </w:r>
      <w:proofErr w:type="gramStart"/>
      <w:r w:rsidR="00437113">
        <w:t>relationships;</w:t>
      </w:r>
      <w:proofErr w:type="gramEnd"/>
      <w:r w:rsidR="00437113">
        <w:t xml:space="preserve"> reuniting with children and navigating romantic relationships and former partners</w:t>
      </w:r>
      <w:r w:rsidR="001F2F2A">
        <w:t>.</w:t>
      </w:r>
      <w:r w:rsidR="00873FF7">
        <w:t xml:space="preserve"> As a salient comparison, relatively few respondents mentioned educational engagement in their plans for reentry.</w:t>
      </w:r>
    </w:p>
    <w:p w14:paraId="6DC776CC" w14:textId="77777777" w:rsidR="000A0F0F" w:rsidRDefault="000A0F0F" w:rsidP="001F2F2A"/>
    <w:p w14:paraId="3547C4ED" w14:textId="1253E0CD" w:rsidR="001F2F2A" w:rsidRPr="00721FF6" w:rsidRDefault="001F2F2A" w:rsidP="001F2F2A">
      <w:pPr>
        <w:rPr>
          <w:b/>
          <w:bCs/>
        </w:rPr>
      </w:pPr>
      <w:r w:rsidRPr="00721FF6">
        <w:rPr>
          <w:b/>
          <w:bCs/>
        </w:rPr>
        <w:t xml:space="preserve">Figure </w:t>
      </w:r>
      <w:r w:rsidR="00227026">
        <w:rPr>
          <w:b/>
          <w:bCs/>
        </w:rPr>
        <w:t>3</w:t>
      </w:r>
      <w:r w:rsidRPr="00721FF6">
        <w:rPr>
          <w:b/>
          <w:bCs/>
        </w:rPr>
        <w:t>. Theme Hierarchy Chart: Expectations for Reentry</w:t>
      </w:r>
    </w:p>
    <w:p w14:paraId="7BC93867" w14:textId="19DCFF97" w:rsidR="001F2F2A" w:rsidRPr="009974E0" w:rsidRDefault="001F2F2A">
      <w:r>
        <w:rPr>
          <w:noProof/>
        </w:rPr>
        <w:drawing>
          <wp:inline distT="0" distB="0" distL="0" distR="0" wp14:anchorId="70BA1A14" wp14:editId="2E875BE4">
            <wp:extent cx="47625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762500" cy="3009900"/>
                    </a:xfrm>
                    <a:prstGeom prst="rect">
                      <a:avLst/>
                    </a:prstGeom>
                  </pic:spPr>
                </pic:pic>
              </a:graphicData>
            </a:graphic>
          </wp:inline>
        </w:drawing>
      </w:r>
    </w:p>
    <w:p w14:paraId="438F78D2" w14:textId="457646C2" w:rsidR="005C0BAD" w:rsidRDefault="005C0BAD" w:rsidP="009974E0">
      <w:pPr>
        <w:pStyle w:val="Heading2"/>
        <w:rPr>
          <w:u w:val="single"/>
        </w:rPr>
      </w:pPr>
      <w:r w:rsidRPr="009974E0">
        <w:t>PHASE 3</w:t>
      </w:r>
      <w:r w:rsidR="00721FF6">
        <w:t xml:space="preserve"> RESULTS</w:t>
      </w:r>
    </w:p>
    <w:p w14:paraId="16512063" w14:textId="7BB78C75" w:rsidR="00AB552E" w:rsidRDefault="00AB552E" w:rsidP="00AB552E">
      <w:r>
        <w:t xml:space="preserve">Phase 3 consisted of </w:t>
      </w:r>
      <w:bookmarkStart w:id="1" w:name="_Hlk83636284"/>
      <w:r>
        <w:t>56 total community interviews of 14 formerly incarcerated women, 14 caregivers, and 18 children before interviewing was halted due to the COVID-19 pandemic</w:t>
      </w:r>
      <w:bookmarkEnd w:id="1"/>
      <w:r>
        <w:t xml:space="preserve">. As noted </w:t>
      </w:r>
      <w:r w:rsidR="00784092">
        <w:t>in the introduction of this report</w:t>
      </w:r>
      <w:r>
        <w:t xml:space="preserve">, we encountered more difficulty recruiting respondents </w:t>
      </w:r>
      <w:r w:rsidR="00784092">
        <w:t>in the</w:t>
      </w:r>
      <w:r>
        <w:t xml:space="preserve"> community </w:t>
      </w:r>
      <w:r w:rsidR="00296470">
        <w:t xml:space="preserve">and </w:t>
      </w:r>
      <w:r>
        <w:t>we’ve learned several lessons thus far. First, while incarcerated mothers were enthusiastic about offering their children an opportunity to share their experiences with researchers, we found this was often not the case when we contacted the children</w:t>
      </w:r>
      <w:r w:rsidR="00296470">
        <w:t xml:space="preserve"> or their caregivers</w:t>
      </w:r>
      <w:r>
        <w:t>.</w:t>
      </w:r>
      <w:r w:rsidR="00296470">
        <w:t xml:space="preserve"> </w:t>
      </w:r>
      <w:r>
        <w:t>Th</w:t>
      </w:r>
      <w:r w:rsidR="00F72AF5">
        <w:t>ese findings</w:t>
      </w:r>
      <w:r>
        <w:t xml:space="preserve"> offer a useful contrast to prior research on children of incarcerated parents. Prior studies of children of incarcerated mothers tend to recruit primarily from caregivers; such a strategy often yields larger numbers but tends to select only those caregivers who are in contact with the incarcerated mother or perhaps have more cohesive relationships. Our project, using incarcerated mothers as the first point of contact, found that many family members actively or passively refused to participate. We suggest that this may be instructive for future researchers</w:t>
      </w:r>
      <w:r w:rsidR="00F72AF5">
        <w:t xml:space="preserve"> and our ongoing analytic strategy now includes a comparison of the reentry experiences of mothers who indicated family members might participate (and did) with mothers who indicated the same (but their families did not).</w:t>
      </w:r>
    </w:p>
    <w:p w14:paraId="4154210D" w14:textId="25E70681" w:rsidR="00AB552E" w:rsidRDefault="00AB552E" w:rsidP="00AB552E">
      <w:pPr>
        <w:rPr>
          <w:b/>
        </w:rPr>
      </w:pPr>
      <w:r>
        <w:tab/>
      </w:r>
      <w:r w:rsidR="00F72AF5">
        <w:t xml:space="preserve">In contrast, in families where we were able to complete interviews with incarcerated mothers and their families, we noted </w:t>
      </w:r>
      <w:r w:rsidR="000342CB">
        <w:t>inconsi</w:t>
      </w:r>
      <w:r w:rsidR="00441148">
        <w:t>s</w:t>
      </w:r>
      <w:r w:rsidR="000342CB">
        <w:t>tencies</w:t>
      </w:r>
      <w:r w:rsidR="00F72AF5">
        <w:t xml:space="preserve"> in the narratives and information offered by respondents within the same family. Pre-release interviews often suggested the reentry process is characterized by surprises – incarcerated mothers return home to information that may have been kept from them while they were incarcerated</w:t>
      </w:r>
      <w:r w:rsidR="00733CF3">
        <w:t>,</w:t>
      </w:r>
      <w:r w:rsidR="00F72AF5">
        <w:t xml:space="preserve"> and family members often have unrealistic expectations about familial reintegration. </w:t>
      </w:r>
      <w:r w:rsidR="00733CF3">
        <w:t>W</w:t>
      </w:r>
      <w:r>
        <w:t xml:space="preserve">e were able to compare pre-release interviews with incarcerated mothers to interviews with their children and caregivers. Divergences in these interviews are instructive for reentry planning. Our interviews yielded cases of family members waiting for release to break bad news (for example, the death of a beloved aunt), concerns on the part of family members about disruptions associated with release, and high expectations on the part of young children relative to the more cautious trepidation expressed by older adolescents and adult children. While our sample is unfortunately small, our results suggest that greater integration of caregivers and children prior to release and through the reentry process may ease an already difficult transition. </w:t>
      </w:r>
    </w:p>
    <w:p w14:paraId="7DBF68DA" w14:textId="6D6B6ED2" w:rsidR="0096435E" w:rsidRDefault="00CE7B42" w:rsidP="009974E0">
      <w:pPr>
        <w:pStyle w:val="Heading3"/>
        <w:rPr>
          <w:u w:val="single"/>
        </w:rPr>
      </w:pPr>
      <w:r>
        <w:t xml:space="preserve">Women’s </w:t>
      </w:r>
      <w:r w:rsidR="00721FF6">
        <w:t>R</w:t>
      </w:r>
      <w:r>
        <w:t>ecidivism Models</w:t>
      </w:r>
    </w:p>
    <w:p w14:paraId="5B4B8C2B" w14:textId="18C8470D" w:rsidR="00784092" w:rsidRDefault="00664DC5">
      <w:r>
        <w:t>             </w:t>
      </w:r>
      <w:r w:rsidR="00AD35DF">
        <w:t>To accompany the narrative data about re-entry we also compute</w:t>
      </w:r>
      <w:r w:rsidR="00A8462D">
        <w:t>d</w:t>
      </w:r>
      <w:r w:rsidR="00AD35DF">
        <w:t xml:space="preserve"> recidivism models for all women who were released from prison after the survey period. As described above, data were combined from The </w:t>
      </w:r>
      <w:r w:rsidR="00303F56">
        <w:t>Pennsylvania</w:t>
      </w:r>
      <w:r w:rsidR="00AD35DF">
        <w:t xml:space="preserve"> Department of Corrections and the Administration of Pennsylvania Courts to find release dates and the first date of contact with the criminal justice system following release. </w:t>
      </w:r>
      <w:r w:rsidR="00784092">
        <w:t>If an individual was both rearrested and reincarcerated, the incident that occurred first chronologically was kept in the data, as that indicates the first recidivism event post-release. A measure of duration was then created, which is the number of days the individual was out of prison prior to their first rearrest or reincarceration incident. Individuals who d</w:t>
      </w:r>
      <w:r w:rsidR="00A8462D">
        <w:t>id</w:t>
      </w:r>
      <w:r w:rsidR="00784092">
        <w:t xml:space="preserve"> not recidivate ha</w:t>
      </w:r>
      <w:r w:rsidR="00A8462D">
        <w:t>d</w:t>
      </w:r>
      <w:r w:rsidR="00784092">
        <w:t xml:space="preserve"> an observation window ranging from less than a day to 998 days post-release. Those who </w:t>
      </w:r>
      <w:r w:rsidR="0013506A">
        <w:t>were</w:t>
      </w:r>
      <w:r w:rsidR="00784092">
        <w:t xml:space="preserve"> either rearrested or reincarcerated ha</w:t>
      </w:r>
      <w:r w:rsidR="0013506A">
        <w:t>d</w:t>
      </w:r>
      <w:r w:rsidR="00784092">
        <w:t xml:space="preserve"> their recidivism event as early as 15 days to 895 days post-release. Thirteen of the women who were released from prison were found to have recidivated. </w:t>
      </w:r>
    </w:p>
    <w:p w14:paraId="261205B6" w14:textId="684A4A14" w:rsidR="00664DC5" w:rsidRDefault="00664DC5" w:rsidP="00784092">
      <w:pPr>
        <w:ind w:firstLine="720"/>
      </w:pPr>
      <w:r>
        <w:t>PADOC</w:t>
      </w:r>
      <w:r w:rsidR="00784092">
        <w:t xml:space="preserve"> also</w:t>
      </w:r>
      <w:r>
        <w:t xml:space="preserve"> provided demographic</w:t>
      </w:r>
      <w:r w:rsidR="00215125">
        <w:t xml:space="preserve"> and</w:t>
      </w:r>
      <w:r>
        <w:t xml:space="preserve"> criminal history</w:t>
      </w:r>
      <w:r w:rsidR="00215125">
        <w:t xml:space="preserve"> variables to use as covariates in these models</w:t>
      </w:r>
      <w:r>
        <w:t xml:space="preserve">. The demographic measures </w:t>
      </w:r>
      <w:r w:rsidR="00F87081">
        <w:t>presented here</w:t>
      </w:r>
      <w:r>
        <w:t xml:space="preserve"> are age (measured in years</w:t>
      </w:r>
      <w:r w:rsidR="00215125">
        <w:t xml:space="preserve">), and </w:t>
      </w:r>
      <w:r>
        <w:t xml:space="preserve">a dichotomous variable indicating if the respondent is white. Black and </w:t>
      </w:r>
      <w:r w:rsidR="00D45910">
        <w:t>Hispanic</w:t>
      </w:r>
      <w:r>
        <w:t xml:space="preserve"> respondents are collapsed due to low statistical power. Finally, </w:t>
      </w:r>
      <w:r w:rsidR="00215125">
        <w:t xml:space="preserve">we </w:t>
      </w:r>
      <w:r>
        <w:t xml:space="preserve">use a measure of offense severity, offense gravity score, which ranges from 1 to 18 and indicates the severity of the controlling offense.   </w:t>
      </w:r>
    </w:p>
    <w:p w14:paraId="552425C3" w14:textId="18255172" w:rsidR="00460D2F" w:rsidRDefault="0055552C" w:rsidP="00A147D6">
      <w:pPr>
        <w:ind w:firstLine="720"/>
      </w:pPr>
      <w:r>
        <w:t xml:space="preserve">Given how few women recidivated, only simple Cox </w:t>
      </w:r>
      <w:r w:rsidR="00784092">
        <w:t xml:space="preserve">proportional hazard </w:t>
      </w:r>
      <w:r>
        <w:t>models are presented to show</w:t>
      </w:r>
      <w:r w:rsidR="00A15345">
        <w:t xml:space="preserve"> the </w:t>
      </w:r>
      <w:r w:rsidR="00784092">
        <w:t>association between</w:t>
      </w:r>
      <w:r w:rsidR="00A15345">
        <w:t xml:space="preserve"> demographic characteristics </w:t>
      </w:r>
      <w:r w:rsidR="00784092">
        <w:t>and</w:t>
      </w:r>
      <w:r w:rsidR="00A15345">
        <w:t xml:space="preserve"> recidivism in this sample. First, the Kaplan-Meier</w:t>
      </w:r>
      <w:r w:rsidR="00F15DA7">
        <w:t xml:space="preserve"> (KM)</w:t>
      </w:r>
      <w:r w:rsidR="00A15345">
        <w:t xml:space="preserve"> survival estimates, and a smoothed hazard function</w:t>
      </w:r>
      <w:r w:rsidR="003C64A4">
        <w:t>,</w:t>
      </w:r>
      <w:r w:rsidR="00A15345">
        <w:t xml:space="preserve"> show a trend towards a greater hazard of recidivism as exposure time increases</w:t>
      </w:r>
      <w:r w:rsidR="00C6696B">
        <w:t xml:space="preserve"> (see Figure</w:t>
      </w:r>
      <w:r w:rsidR="00F03A85">
        <w:t>s</w:t>
      </w:r>
      <w:r w:rsidR="00C6696B">
        <w:t xml:space="preserve"> 4</w:t>
      </w:r>
      <w:r w:rsidR="00F03A85">
        <w:t xml:space="preserve"> and 5</w:t>
      </w:r>
      <w:r w:rsidR="00C6696B">
        <w:t>)</w:t>
      </w:r>
      <w:r w:rsidR="00A15345">
        <w:t>.</w:t>
      </w:r>
      <w:r w:rsidR="00F15DA7">
        <w:t xml:space="preserve"> Kaplan-Meier survival estimates show the decline in survivorship of the sample over time, with each stair-step down representing a member of the sample who recidivated. A smoothed hazard function is plotted from the data in the KM estimate, and in volatile samples helps visualize how the trend changes over time. Here the smoothed hazard function shows slow increase in the hazard of recidivism as the </w:t>
      </w:r>
      <w:r w:rsidR="001237F7">
        <w:t>individual is exposed to more time post-release.</w:t>
      </w:r>
    </w:p>
    <w:p w14:paraId="6AB23417" w14:textId="5185409A" w:rsidR="000A0F0F" w:rsidRDefault="000A0F0F" w:rsidP="00A147D6">
      <w:pPr>
        <w:ind w:firstLine="720"/>
      </w:pPr>
    </w:p>
    <w:p w14:paraId="000C4385" w14:textId="77777777" w:rsidR="000A0F0F" w:rsidRDefault="000A0F0F" w:rsidP="00A147D6">
      <w:pPr>
        <w:ind w:firstLine="720"/>
      </w:pPr>
    </w:p>
    <w:p w14:paraId="43A04194" w14:textId="05BB9141" w:rsidR="00A15345" w:rsidRDefault="00A15345" w:rsidP="00A15345">
      <w:pPr>
        <w:spacing w:line="240" w:lineRule="auto"/>
        <w:rPr>
          <w:b/>
          <w:bCs/>
        </w:rPr>
      </w:pPr>
      <w:r>
        <w:rPr>
          <w:b/>
          <w:bCs/>
          <w:szCs w:val="24"/>
        </w:rPr>
        <w:t xml:space="preserve">Figure </w:t>
      </w:r>
      <w:r w:rsidR="0019362A">
        <w:rPr>
          <w:b/>
          <w:bCs/>
          <w:szCs w:val="24"/>
        </w:rPr>
        <w:t>4</w:t>
      </w:r>
      <w:r w:rsidR="00D56F23">
        <w:rPr>
          <w:b/>
          <w:bCs/>
          <w:szCs w:val="24"/>
        </w:rPr>
        <w:t>.</w:t>
      </w:r>
      <w:r>
        <w:rPr>
          <w:b/>
          <w:bCs/>
          <w:szCs w:val="24"/>
        </w:rPr>
        <w:t xml:space="preserve"> </w:t>
      </w:r>
      <w:r w:rsidRPr="009974E0">
        <w:rPr>
          <w:b/>
          <w:bCs/>
        </w:rPr>
        <w:t xml:space="preserve">Kaplan-Meier </w:t>
      </w:r>
      <w:r w:rsidR="00C6696B">
        <w:rPr>
          <w:b/>
          <w:bCs/>
        </w:rPr>
        <w:t>S</w:t>
      </w:r>
      <w:r w:rsidRPr="009974E0">
        <w:rPr>
          <w:b/>
          <w:bCs/>
        </w:rPr>
        <w:t xml:space="preserve">urvival </w:t>
      </w:r>
      <w:r w:rsidR="00C6696B">
        <w:rPr>
          <w:b/>
          <w:bCs/>
        </w:rPr>
        <w:t>E</w:t>
      </w:r>
      <w:r w:rsidRPr="009974E0">
        <w:rPr>
          <w:b/>
          <w:bCs/>
        </w:rPr>
        <w:t>stimates</w:t>
      </w:r>
      <w:r w:rsidR="00C6696B">
        <w:rPr>
          <w:b/>
          <w:bCs/>
        </w:rPr>
        <w:t xml:space="preserve"> of </w:t>
      </w:r>
      <w:r w:rsidR="00D73B6E">
        <w:rPr>
          <w:b/>
          <w:bCs/>
        </w:rPr>
        <w:t>Recidivism</w:t>
      </w:r>
      <w:r w:rsidR="00C77A9E">
        <w:rPr>
          <w:b/>
          <w:bCs/>
        </w:rPr>
        <w:t xml:space="preserve"> in WO-PINS Sample</w:t>
      </w:r>
    </w:p>
    <w:p w14:paraId="15B12090" w14:textId="77777777" w:rsidR="00306DF2" w:rsidRPr="0041083E" w:rsidRDefault="00306DF2" w:rsidP="00A15345">
      <w:pPr>
        <w:spacing w:line="240" w:lineRule="auto"/>
        <w:rPr>
          <w:b/>
          <w:bCs/>
          <w:szCs w:val="24"/>
        </w:rPr>
      </w:pPr>
    </w:p>
    <w:p w14:paraId="7600B636" w14:textId="77777777" w:rsidR="00A15345" w:rsidRDefault="00A15345" w:rsidP="00A15345">
      <w:pPr>
        <w:jc w:val="center"/>
      </w:pPr>
      <w:r>
        <w:rPr>
          <w:noProof/>
        </w:rPr>
        <w:drawing>
          <wp:inline distT="0" distB="0" distL="0" distR="0" wp14:anchorId="1B9B0A27" wp14:editId="7A4A2C3F">
            <wp:extent cx="3371353" cy="2451796"/>
            <wp:effectExtent l="0" t="0" r="635" b="5715"/>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71353" cy="2451796"/>
                    </a:xfrm>
                    <a:prstGeom prst="rect">
                      <a:avLst/>
                    </a:prstGeom>
                  </pic:spPr>
                </pic:pic>
              </a:graphicData>
            </a:graphic>
          </wp:inline>
        </w:drawing>
      </w:r>
    </w:p>
    <w:p w14:paraId="145B2198" w14:textId="489CBC19" w:rsidR="00A15345" w:rsidRPr="0041083E" w:rsidRDefault="00A15345" w:rsidP="00A15345">
      <w:pPr>
        <w:rPr>
          <w:b/>
          <w:bCs/>
          <w:szCs w:val="24"/>
        </w:rPr>
      </w:pPr>
      <w:r>
        <w:rPr>
          <w:b/>
          <w:bCs/>
          <w:szCs w:val="24"/>
        </w:rPr>
        <w:t xml:space="preserve">Figure </w:t>
      </w:r>
      <w:r w:rsidR="0019362A">
        <w:rPr>
          <w:b/>
          <w:bCs/>
          <w:szCs w:val="24"/>
        </w:rPr>
        <w:t>5</w:t>
      </w:r>
      <w:r w:rsidR="00D56F23">
        <w:rPr>
          <w:b/>
          <w:bCs/>
          <w:szCs w:val="24"/>
        </w:rPr>
        <w:t>.</w:t>
      </w:r>
      <w:r>
        <w:rPr>
          <w:b/>
          <w:bCs/>
          <w:szCs w:val="24"/>
        </w:rPr>
        <w:t xml:space="preserve"> </w:t>
      </w:r>
      <w:r w:rsidRPr="0041083E">
        <w:rPr>
          <w:b/>
          <w:bCs/>
          <w:szCs w:val="24"/>
        </w:rPr>
        <w:t>Smoothed Hazard Function</w:t>
      </w:r>
      <w:r w:rsidR="00EC4CF9">
        <w:rPr>
          <w:b/>
          <w:bCs/>
          <w:szCs w:val="24"/>
        </w:rPr>
        <w:t xml:space="preserve"> </w:t>
      </w:r>
      <w:r w:rsidR="003020C6">
        <w:rPr>
          <w:b/>
          <w:bCs/>
          <w:szCs w:val="24"/>
        </w:rPr>
        <w:t>of Recidivism</w:t>
      </w:r>
      <w:r w:rsidR="00C77A9E">
        <w:rPr>
          <w:b/>
          <w:bCs/>
          <w:szCs w:val="24"/>
        </w:rPr>
        <w:t xml:space="preserve"> in WO-PINS Sample</w:t>
      </w:r>
    </w:p>
    <w:p w14:paraId="07246DF5" w14:textId="77777777" w:rsidR="00A15345" w:rsidRDefault="00A15345" w:rsidP="00A15345">
      <w:pPr>
        <w:jc w:val="center"/>
        <w:rPr>
          <w:b/>
          <w:bCs/>
        </w:rPr>
      </w:pPr>
      <w:r>
        <w:rPr>
          <w:b/>
          <w:bCs/>
          <w:noProof/>
        </w:rPr>
        <w:drawing>
          <wp:inline distT="0" distB="0" distL="0" distR="0" wp14:anchorId="4A5BE7B7" wp14:editId="025774D6">
            <wp:extent cx="3363402" cy="2446013"/>
            <wp:effectExtent l="0" t="0" r="889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6979" cy="2499522"/>
                    </a:xfrm>
                    <a:prstGeom prst="rect">
                      <a:avLst/>
                    </a:prstGeom>
                  </pic:spPr>
                </pic:pic>
              </a:graphicData>
            </a:graphic>
          </wp:inline>
        </w:drawing>
      </w:r>
    </w:p>
    <w:p w14:paraId="6708CC13" w14:textId="0ED61EAE" w:rsidR="0096435E" w:rsidRDefault="00A15345">
      <w:r>
        <w:t xml:space="preserve">A Wilcoxon (Breslow) test for equality between stratifications of the sample shows a </w:t>
      </w:r>
      <w:r w:rsidR="002D4970">
        <w:t>unit effect for</w:t>
      </w:r>
      <w:r>
        <w:t xml:space="preserve"> the </w:t>
      </w:r>
      <w:r w:rsidR="002D4970">
        <w:t>general population unit of site 2 (unit 3) with a chi square p-value of less than 0.05 (p=0.02). Wilcoxon tests for equality in survivor function bias towards earlier events in the survival curve, for recidivism</w:t>
      </w:r>
      <w:r w:rsidR="001237F7">
        <w:t>,</w:t>
      </w:r>
      <w:r w:rsidR="002D4970">
        <w:t xml:space="preserve"> this focuses on differences in recidivism more temporal to release.</w:t>
      </w:r>
      <w:r w:rsidR="005450F2">
        <w:t xml:space="preserve"> </w:t>
      </w:r>
      <w:r w:rsidR="00D45910">
        <w:t xml:space="preserve">No difference was shown to be statistically significant between white and non-white individuals in stratification test (p=0.16), however OGS was shown to have a significant difference between Kaplan- Meier survival curves (p=0.0001). </w:t>
      </w:r>
    </w:p>
    <w:p w14:paraId="30FDBAB5" w14:textId="77777777" w:rsidR="00303F56" w:rsidRDefault="00036DF3" w:rsidP="00036DF3">
      <w:pPr>
        <w:pStyle w:val="Heading1"/>
        <w:ind w:firstLine="720"/>
        <w:jc w:val="left"/>
        <w:rPr>
          <w:rFonts w:cstheme="minorBidi"/>
          <w:b w:val="0"/>
        </w:rPr>
      </w:pPr>
      <w:r w:rsidRPr="00036DF3">
        <w:rPr>
          <w:rFonts w:cstheme="minorBidi"/>
          <w:b w:val="0"/>
        </w:rPr>
        <w:t xml:space="preserve">Age, race, and unit are included in a Cox Proportional Hazard model to predict the change in the hazard of recidivism by each of these characteristics. One observation is dropped because the duration is zero days resulting in 172 individuals with 77,257 days of combined exposure to the risk of recidivism. Age is shown to have a protective effect, lowering the hazard of recidivism with each additional year older the respondent was. Unit shows a greater risk of unit 3 members for recidivism as compared to unit 1 members, e.g., general population members are at greater risk for recidivism than good behavior unit members, net of both age and OGS. Offense Gravity Score is not shown to have a statistically significant predictive impact on the model when Age of the respondent and unit of data collection are accounted for. </w:t>
      </w:r>
    </w:p>
    <w:p w14:paraId="5B5BA6BC" w14:textId="3BF7EAF6" w:rsidR="001B2427" w:rsidRDefault="001B2427" w:rsidP="00303F56">
      <w:pPr>
        <w:pStyle w:val="Heading1"/>
        <w:ind w:firstLine="720"/>
      </w:pPr>
      <w:r w:rsidRPr="000A79E1">
        <w:t>IMPLICATIONS FOR POLICY AND PRACTICE</w:t>
      </w:r>
    </w:p>
    <w:p w14:paraId="58C6A277" w14:textId="77777777" w:rsidR="00DA2F49" w:rsidRDefault="001B2427">
      <w:r>
        <w:t>Sykes [1958/2007] long-ago argued that understanding prison informal social organization is essential for improving prison policy because those incarcerated far outnumber their captors and coercion alone is insufficient to secure safe and humane prison conditions. In this project, we designed and implemented a unique social network design in three women’s prison settings of varying size, compositions, and security characteristics, demonstrating that this method is both feasible and capable of illuminating important characteristics of prison social order. Thus far, our findings highlight the complexity of women’s prison social systems, with implications for correctional policy. Trust, friendship, and caregiving were clearly prevalent in the units we studied, but so was peer bullying and manipulative inmate-staff relationships</w:t>
      </w:r>
      <w:r w:rsidR="00DA2F49">
        <w:t xml:space="preserve">. These results point to </w:t>
      </w:r>
      <w:r w:rsidR="00D55967">
        <w:t xml:space="preserve">a more fluid social system </w:t>
      </w:r>
      <w:r w:rsidR="00DA2F49">
        <w:t xml:space="preserve">in women’s than men’s prisons which would demand more daily attention from correctional staff and prisoners alike. </w:t>
      </w:r>
    </w:p>
    <w:p w14:paraId="003AF8B6" w14:textId="77777777" w:rsidR="00C755E0" w:rsidRDefault="00DA2F49" w:rsidP="00DA2F49">
      <w:pPr>
        <w:ind w:firstLine="720"/>
      </w:pPr>
      <w:r>
        <w:t xml:space="preserve">We also found that prison pseudo-families remained a strong presence on the units we studied, with over half </w:t>
      </w:r>
      <w:r w:rsidR="00C755E0">
        <w:t xml:space="preserve">of </w:t>
      </w:r>
      <w:r>
        <w:t xml:space="preserve">the sampled women self-identifying </w:t>
      </w:r>
      <w:r w:rsidR="00C755E0">
        <w:t xml:space="preserve">as </w:t>
      </w:r>
      <w:r>
        <w:t xml:space="preserve">members </w:t>
      </w:r>
      <w:r w:rsidR="00C755E0">
        <w:t>of a</w:t>
      </w:r>
      <w:r>
        <w:t xml:space="preserve"> pseudo-family. Moreover, women identified as pseudo-mothers were generally perceived as supportive and caring </w:t>
      </w:r>
      <w:r w:rsidR="00C755E0">
        <w:t xml:space="preserve">by </w:t>
      </w:r>
      <w:r>
        <w:t>pseudo-family members, suggesting that these (typically older) women provided valuable emotional benefits and community support in the prison setting</w:t>
      </w:r>
      <w:r w:rsidR="00C755E0">
        <w:t>s</w:t>
      </w:r>
      <w:r>
        <w:t xml:space="preserve">. Additionally, we found that </w:t>
      </w:r>
      <w:r w:rsidR="009077D1">
        <w:t xml:space="preserve">pseudo-mothers’ </w:t>
      </w:r>
      <w:r>
        <w:t xml:space="preserve">investments in </w:t>
      </w:r>
      <w:r w:rsidR="009077D1">
        <w:t xml:space="preserve">their </w:t>
      </w:r>
      <w:r>
        <w:t xml:space="preserve">pseudo-families </w:t>
      </w:r>
      <w:r w:rsidR="009077D1">
        <w:t xml:space="preserve">did not take away from </w:t>
      </w:r>
      <w:r w:rsidR="00C755E0">
        <w:t xml:space="preserve">their </w:t>
      </w:r>
      <w:r w:rsidR="009077D1">
        <w:t xml:space="preserve">investments in their </w:t>
      </w:r>
      <w:r w:rsidR="00C755E0">
        <w:t xml:space="preserve">own </w:t>
      </w:r>
      <w:r w:rsidR="009077D1">
        <w:t xml:space="preserve">biological children, compared to peers not involved in pseudo-families. This finding suggests that pseudo-motherhood reproduces, rather than substitutes for, pre-prison maternal roles. Although these findings paint a generally positive portrait of prison pseudo-families, </w:t>
      </w:r>
      <w:r w:rsidR="00C755E0">
        <w:t xml:space="preserve">we plan to conduct </w:t>
      </w:r>
      <w:r w:rsidR="009077D1">
        <w:t>future research with th</w:t>
      </w:r>
      <w:r w:rsidR="00C755E0">
        <w:t>e same</w:t>
      </w:r>
      <w:r w:rsidR="009077D1">
        <w:t xml:space="preserve"> data </w:t>
      </w:r>
      <w:r w:rsidR="00C755E0">
        <w:t>to</w:t>
      </w:r>
      <w:r w:rsidR="009077D1">
        <w:t xml:space="preserve"> focus on potential inter-family rivalries </w:t>
      </w:r>
      <w:r w:rsidR="00C755E0">
        <w:t>that may also explain the observed bullying and negative characteristics in the status analyses.</w:t>
      </w:r>
    </w:p>
    <w:p w14:paraId="0C2506D0" w14:textId="57C5C93B" w:rsidR="00DA2F49" w:rsidRDefault="00C755E0" w:rsidP="00DA2F49">
      <w:pPr>
        <w:ind w:firstLine="720"/>
      </w:pPr>
      <w:r>
        <w:t xml:space="preserve">Our findings also suggested that visitation is often perceived as negative or with mixed feelings by incarcerated women. In particular, surveyed women reported that visitation was commonly perceived as difficult for the visitors and these perceptions contributed to a negative overall perception of visits. This is an important finding as visitation is often portrayed only in positive terms. It should be recognized by correctional staff and counselors that visitation can also be a fraught experience requiring </w:t>
      </w:r>
      <w:r w:rsidR="00230B38">
        <w:t xml:space="preserve">additional efforts to assist both the visitor and visited prisoner. </w:t>
      </w:r>
    </w:p>
    <w:p w14:paraId="59C5BBE4" w14:textId="753745AC" w:rsidR="00230B38" w:rsidRDefault="00230B38" w:rsidP="00DA2F49">
      <w:pPr>
        <w:ind w:firstLine="720"/>
      </w:pPr>
      <w:r>
        <w:t>We also found that incarcerated women who had previously experienced childhood or adult victimization were significantly more likely to seek friendship ties but less likely to receive such ties. In other words, contrary to expectations, incarcerated women with victimization experiences sought peer support but were unlikely to find it. There are important policy considerations here, as it suggests that victimized women are likely to be socially marginalized and simultaneously frustrated by peer rejection, increasing the likelihood of poor mental health outcomes. This is a topic we hope to return to in future analyses.</w:t>
      </w:r>
    </w:p>
    <w:p w14:paraId="6478DCB4" w14:textId="4594A84F" w:rsidR="00230B38" w:rsidRDefault="00230B38" w:rsidP="00DA2F49">
      <w:pPr>
        <w:ind w:firstLine="720"/>
      </w:pPr>
      <w:r>
        <w:t>Although our analyses of pre-release and post-release interviews remain underway, we learn</w:t>
      </w:r>
      <w:r w:rsidR="001951FC">
        <w:t>ed</w:t>
      </w:r>
      <w:r>
        <w:t xml:space="preserve"> important lessons in the data collection process. First, it was more difficult to convince women than men to continue with the study </w:t>
      </w:r>
      <w:r w:rsidR="00977770">
        <w:t>upon</w:t>
      </w:r>
      <w:r>
        <w:t xml:space="preserve"> release, resulting in </w:t>
      </w:r>
      <w:r w:rsidR="008A3478">
        <w:t xml:space="preserve">our </w:t>
      </w:r>
      <w:r>
        <w:t xml:space="preserve">losing touch with many of the women who were released from prison. Additionally, the perceptions provided by the incarcerated women </w:t>
      </w:r>
      <w:r w:rsidR="00204F89">
        <w:t>of their children often conflicted with the children’s own narratives, such that women often reported strong mother-child relationships that were inconsistent with the children’s reports. This finding has implications for correctional efforts to ease post-prison family reintegration, as it suggests that caseworkers pay particular attention to children’s perceptions of their mothers’ incarceration and make sure that mothers and children share their perceptions and feelings prior to prison release. Although our interviews were also disrupted by COVID-19, we hope to glean additional insights from the interviews in future analyses.</w:t>
      </w:r>
    </w:p>
    <w:p w14:paraId="3015DDB5" w14:textId="2BF305BA" w:rsidR="00051A90" w:rsidRDefault="00204F89" w:rsidP="00036DF3">
      <w:pPr>
        <w:ind w:firstLine="720"/>
        <w:rPr>
          <w:rFonts w:cs="Times New Roman"/>
          <w:b/>
        </w:rPr>
      </w:pPr>
      <w:r>
        <w:t>Overall, o</w:t>
      </w:r>
      <w:r w:rsidR="001B2427">
        <w:t xml:space="preserve">ur approach provides a roadmap for </w:t>
      </w:r>
      <w:r>
        <w:t xml:space="preserve">understanding the social worlds and relationships of incarcerated women. At its most basic, this study demonstrates the feasibility of network data collection in women’s prison settings. We achieved over 70% response rates in all three of the sampled prison units. </w:t>
      </w:r>
      <w:r w:rsidR="00036DF3">
        <w:t>T</w:t>
      </w:r>
      <w:r w:rsidR="00036DF3" w:rsidRPr="00036DF3">
        <w:t xml:space="preserve">his project </w:t>
      </w:r>
      <w:r w:rsidR="00036DF3">
        <w:t xml:space="preserve">thus </w:t>
      </w:r>
      <w:r w:rsidR="00036DF3" w:rsidRPr="00036DF3">
        <w:t xml:space="preserve">provides a template for successfully collecting social network data in carceral settings. We published methodological lessons learned in social network (Whichard, Schaefer, &amp; Kreager, Forthcoming) and criminology outlets (Whichard, Wakefield, &amp; Kreager, 2020). Moreover, a summary of a network approach for understanding prison informal social organization was published in the inaugural issue of The Annual Review of Criminology (Kreager &amp; </w:t>
      </w:r>
      <w:proofErr w:type="spellStart"/>
      <w:r w:rsidR="00036DF3" w:rsidRPr="00036DF3">
        <w:t>Kruttschnitt</w:t>
      </w:r>
      <w:proofErr w:type="spellEnd"/>
      <w:r w:rsidR="00036DF3" w:rsidRPr="00036DF3">
        <w:t>, 2018).</w:t>
      </w:r>
      <w:r w:rsidR="00036DF3">
        <w:t xml:space="preserve"> Data from the current study and future similar studies can thus help to </w:t>
      </w:r>
      <w:r w:rsidR="001B2427">
        <w:t>diagnos</w:t>
      </w:r>
      <w:r w:rsidR="00036DF3">
        <w:t>e</w:t>
      </w:r>
      <w:r w:rsidR="001B2427">
        <w:t xml:space="preserve"> problematic prison units and identify those incarcerated women at greatest risk of victimization or negative health outcomes. </w:t>
      </w:r>
      <w:r w:rsidR="00051A90">
        <w:br w:type="page"/>
      </w:r>
    </w:p>
    <w:p w14:paraId="23A38584" w14:textId="0AB72BBE" w:rsidR="009603E9" w:rsidRDefault="009603E9">
      <w:pPr>
        <w:pStyle w:val="Heading1"/>
      </w:pPr>
      <w:r w:rsidRPr="000A79E1">
        <w:t>REFERENCES</w:t>
      </w:r>
    </w:p>
    <w:p w14:paraId="486FFBF6" w14:textId="2C3468B4" w:rsidR="00BF44B1" w:rsidRDefault="00BF44B1" w:rsidP="009974E0">
      <w:pPr>
        <w:ind w:left="720" w:hanging="720"/>
      </w:pPr>
      <w:r w:rsidRPr="00BF44B1">
        <w:t>Boudin, C., Stutz, T., &amp; Littman, A. (2013). Prison visitation policies: A fifty-state survey. </w:t>
      </w:r>
      <w:r w:rsidRPr="00BF44B1">
        <w:rPr>
          <w:i/>
          <w:iCs/>
        </w:rPr>
        <w:t>Yale L</w:t>
      </w:r>
      <w:r>
        <w:rPr>
          <w:i/>
          <w:iCs/>
        </w:rPr>
        <w:t>aw</w:t>
      </w:r>
      <w:r w:rsidRPr="00BF44B1">
        <w:rPr>
          <w:i/>
          <w:iCs/>
        </w:rPr>
        <w:t xml:space="preserve"> &amp; Pol</w:t>
      </w:r>
      <w:r>
        <w:rPr>
          <w:i/>
          <w:iCs/>
        </w:rPr>
        <w:t>ic</w:t>
      </w:r>
      <w:r w:rsidRPr="00BF44B1">
        <w:rPr>
          <w:i/>
          <w:iCs/>
        </w:rPr>
        <w:t>y Rev.</w:t>
      </w:r>
      <w:r w:rsidRPr="00BF44B1">
        <w:t>, </w:t>
      </w:r>
      <w:r w:rsidRPr="00BF44B1">
        <w:rPr>
          <w:i/>
          <w:iCs/>
        </w:rPr>
        <w:t>32</w:t>
      </w:r>
      <w:r w:rsidRPr="00BF44B1">
        <w:t>, 149.</w:t>
      </w:r>
    </w:p>
    <w:p w14:paraId="1178EF6E" w14:textId="77777777" w:rsidR="00784DDD" w:rsidRDefault="00784DDD" w:rsidP="009974E0">
      <w:pPr>
        <w:ind w:left="720" w:hanging="720"/>
      </w:pPr>
      <w:r w:rsidRPr="00784DDD">
        <w:t>Burt, R. S. (2017). Structural holes versus network closure as social capital. In </w:t>
      </w:r>
      <w:r w:rsidRPr="00784DDD">
        <w:rPr>
          <w:i/>
          <w:iCs/>
        </w:rPr>
        <w:t>Social capital</w:t>
      </w:r>
      <w:r w:rsidRPr="00784DDD">
        <w:t> (pp. 31-56). Routledge.</w:t>
      </w:r>
    </w:p>
    <w:p w14:paraId="5D9A90A9" w14:textId="1454BA3A" w:rsidR="0033180C" w:rsidRDefault="0033180C" w:rsidP="009974E0">
      <w:pPr>
        <w:ind w:left="720" w:hanging="720"/>
      </w:pPr>
      <w:r w:rsidRPr="00120A86">
        <w:t>Carson, E. A</w:t>
      </w:r>
      <w:r w:rsidR="00CC3D40">
        <w:t>.</w:t>
      </w:r>
      <w:r w:rsidRPr="00120A86">
        <w:t xml:space="preserve">, </w:t>
      </w:r>
      <w:r w:rsidR="00814F8F">
        <w:t>&amp;</w:t>
      </w:r>
      <w:r w:rsidRPr="00120A86">
        <w:t xml:space="preserve"> Sabol</w:t>
      </w:r>
      <w:r w:rsidR="00CC237A">
        <w:t>, W.</w:t>
      </w:r>
      <w:r w:rsidR="001F01EA">
        <w:t xml:space="preserve"> J</w:t>
      </w:r>
      <w:r w:rsidRPr="00120A86">
        <w:t xml:space="preserve">. </w:t>
      </w:r>
      <w:r w:rsidR="005C30DC">
        <w:t>(</w:t>
      </w:r>
      <w:r w:rsidRPr="00120A86">
        <w:t>2012</w:t>
      </w:r>
      <w:r w:rsidR="005C30DC">
        <w:t>)</w:t>
      </w:r>
      <w:r w:rsidRPr="00120A86">
        <w:t xml:space="preserve">. </w:t>
      </w:r>
      <w:r w:rsidRPr="00120A86">
        <w:rPr>
          <w:i/>
        </w:rPr>
        <w:t>Prisoners in 2011.</w:t>
      </w:r>
      <w:r w:rsidRPr="00120A86">
        <w:t xml:space="preserve"> Washington, DC: US Department of Justice, Bureau of Justice Statistics.</w:t>
      </w:r>
    </w:p>
    <w:p w14:paraId="1204B53A" w14:textId="59A9276B" w:rsidR="00BF44B1" w:rsidRDefault="00BF44B1" w:rsidP="004712A8">
      <w:pPr>
        <w:ind w:left="720" w:hanging="720"/>
      </w:pPr>
      <w:r w:rsidRPr="00BF44B1">
        <w:t>Casey-Acevedo, K., &amp; Bakken, T. (2002). Visiting women in prison: Who visits and who cares? </w:t>
      </w:r>
      <w:r w:rsidRPr="00BF44B1">
        <w:rPr>
          <w:i/>
          <w:iCs/>
        </w:rPr>
        <w:t>Journal of Offender Rehabilitation</w:t>
      </w:r>
      <w:r w:rsidRPr="00BF44B1">
        <w:t>, </w:t>
      </w:r>
      <w:r w:rsidRPr="00BF44B1">
        <w:rPr>
          <w:i/>
          <w:iCs/>
        </w:rPr>
        <w:t>34</w:t>
      </w:r>
      <w:r w:rsidRPr="00BF44B1">
        <w:t>(3), 67-83.</w:t>
      </w:r>
    </w:p>
    <w:p w14:paraId="76A070C2" w14:textId="77777777" w:rsidR="00BF44B1" w:rsidRDefault="00BF44B1" w:rsidP="004712A8">
      <w:pPr>
        <w:ind w:left="720" w:hanging="720"/>
      </w:pPr>
      <w:r w:rsidRPr="00BF44B1">
        <w:t>Clark, V. A., &amp; Duwe, G. (2017). Distance matters: Examining the factors that impact prisoner visitation in Minnesota. </w:t>
      </w:r>
      <w:r w:rsidRPr="00BF44B1">
        <w:rPr>
          <w:i/>
          <w:iCs/>
        </w:rPr>
        <w:t>Criminal Justice and Behavior</w:t>
      </w:r>
      <w:r w:rsidRPr="00BF44B1">
        <w:t>, </w:t>
      </w:r>
      <w:r w:rsidRPr="00BF44B1">
        <w:rPr>
          <w:i/>
          <w:iCs/>
        </w:rPr>
        <w:t>44</w:t>
      </w:r>
      <w:r w:rsidRPr="00BF44B1">
        <w:t>(2), 184-204.</w:t>
      </w:r>
    </w:p>
    <w:p w14:paraId="4AF0492C" w14:textId="7A645867" w:rsidR="004712A8" w:rsidRPr="004712A8" w:rsidRDefault="004712A8" w:rsidP="004712A8">
      <w:pPr>
        <w:ind w:left="720" w:hanging="720"/>
      </w:pPr>
      <w:r w:rsidRPr="004712A8">
        <w:t xml:space="preserve">Clemmer, D. </w:t>
      </w:r>
      <w:r>
        <w:t>(</w:t>
      </w:r>
      <w:r w:rsidRPr="004712A8">
        <w:t>1958</w:t>
      </w:r>
      <w:r>
        <w:t>)</w:t>
      </w:r>
      <w:r w:rsidRPr="004712A8">
        <w:t xml:space="preserve">. </w:t>
      </w:r>
      <w:r w:rsidRPr="004712A8">
        <w:rPr>
          <w:i/>
          <w:iCs/>
        </w:rPr>
        <w:t>The Prison Community</w:t>
      </w:r>
      <w:r w:rsidRPr="004712A8">
        <w:t>. Rinehart.</w:t>
      </w:r>
    </w:p>
    <w:p w14:paraId="7AF7C373" w14:textId="57FB56B7" w:rsidR="005B0AF3" w:rsidRPr="009771F5" w:rsidRDefault="005B0AF3" w:rsidP="005B0AF3">
      <w:pPr>
        <w:ind w:left="720" w:hanging="720"/>
        <w:rPr>
          <w:rFonts w:ascii="Times" w:hAnsi="Times" w:cs="Times"/>
        </w:rPr>
      </w:pPr>
      <w:r w:rsidRPr="009771F5">
        <w:rPr>
          <w:rFonts w:ascii="Times" w:hAnsi="Times" w:cs="Times"/>
        </w:rPr>
        <w:t xml:space="preserve">DeHart, D. D. (2018). Women’s Pathways to Crime: A Heuristic Typology of Offenders. </w:t>
      </w:r>
      <w:r w:rsidRPr="005B0AF3">
        <w:rPr>
          <w:rFonts w:ascii="Times" w:hAnsi="Times" w:cs="Times"/>
          <w:i/>
          <w:iCs/>
        </w:rPr>
        <w:t>Criminal Justice and Behavior, 45</w:t>
      </w:r>
      <w:r w:rsidRPr="009771F5">
        <w:rPr>
          <w:rFonts w:ascii="Times" w:hAnsi="Times" w:cs="Times"/>
        </w:rPr>
        <w:t xml:space="preserve">(10), 1461–1482. </w:t>
      </w:r>
    </w:p>
    <w:p w14:paraId="7A694EE7" w14:textId="758BD963" w:rsidR="00AA3D6D" w:rsidRDefault="00AA3D6D" w:rsidP="00AA3D6D">
      <w:pPr>
        <w:ind w:left="720" w:hanging="720"/>
        <w:rPr>
          <w:rFonts w:ascii="Times" w:hAnsi="Times" w:cs="Times"/>
        </w:rPr>
      </w:pPr>
      <w:r w:rsidRPr="009771F5">
        <w:rPr>
          <w:rFonts w:ascii="Times" w:hAnsi="Times" w:cs="Times"/>
        </w:rPr>
        <w:t xml:space="preserve">Daly, K. (1992). Women’s pathways to felony court: Feminist theories of lawbreaking and problems of representation. </w:t>
      </w:r>
      <w:r w:rsidRPr="005B0AF3">
        <w:rPr>
          <w:rFonts w:ascii="Times" w:hAnsi="Times" w:cs="Times"/>
          <w:i/>
          <w:iCs/>
        </w:rPr>
        <w:t>Southern California Review of Law and Women’s Studies</w:t>
      </w:r>
      <w:r w:rsidRPr="009771F5">
        <w:rPr>
          <w:rFonts w:ascii="Times" w:hAnsi="Times" w:cs="Times"/>
        </w:rPr>
        <w:t xml:space="preserve">, </w:t>
      </w:r>
      <w:r w:rsidRPr="005B0AF3">
        <w:rPr>
          <w:rFonts w:ascii="Times" w:hAnsi="Times" w:cs="Times"/>
          <w:i/>
          <w:iCs/>
        </w:rPr>
        <w:t>2</w:t>
      </w:r>
      <w:r w:rsidRPr="009771F5">
        <w:rPr>
          <w:rFonts w:ascii="Times" w:hAnsi="Times" w:cs="Times"/>
        </w:rPr>
        <w:t>, 11–52.</w:t>
      </w:r>
    </w:p>
    <w:p w14:paraId="191184D8" w14:textId="77777777" w:rsidR="00246AFB" w:rsidRPr="00246AFB" w:rsidRDefault="00246AFB" w:rsidP="00246AFB">
      <w:pPr>
        <w:ind w:left="720" w:hanging="720"/>
        <w:rPr>
          <w:rFonts w:ascii="Times" w:hAnsi="Times" w:cs="Times"/>
        </w:rPr>
      </w:pPr>
      <w:r w:rsidRPr="00246AFB">
        <w:rPr>
          <w:rFonts w:ascii="Times" w:hAnsi="Times" w:cs="Times"/>
        </w:rPr>
        <w:t xml:space="preserve">Daly, K., &amp; Chesney-Lind, M. (1988). Feminism and criminology. </w:t>
      </w:r>
      <w:r w:rsidRPr="00246AFB">
        <w:rPr>
          <w:rFonts w:ascii="Times" w:hAnsi="Times" w:cs="Times"/>
          <w:i/>
          <w:iCs/>
        </w:rPr>
        <w:t>Justice Quarterly</w:t>
      </w:r>
      <w:r w:rsidRPr="00246AFB">
        <w:rPr>
          <w:rFonts w:ascii="Times" w:hAnsi="Times" w:cs="Times"/>
        </w:rPr>
        <w:t xml:space="preserve">, </w:t>
      </w:r>
      <w:r w:rsidRPr="00246AFB">
        <w:rPr>
          <w:rFonts w:ascii="Times" w:hAnsi="Times" w:cs="Times"/>
          <w:i/>
          <w:iCs/>
        </w:rPr>
        <w:t>5</w:t>
      </w:r>
      <w:r w:rsidRPr="00246AFB">
        <w:rPr>
          <w:rFonts w:ascii="Times" w:hAnsi="Times" w:cs="Times"/>
        </w:rPr>
        <w:t xml:space="preserve">(4), 497–538. </w:t>
      </w:r>
    </w:p>
    <w:p w14:paraId="15B397C1" w14:textId="72752C36" w:rsidR="00F20025" w:rsidRPr="00EF182D" w:rsidRDefault="00F20025" w:rsidP="009974E0">
      <w:pPr>
        <w:ind w:left="720" w:hanging="720"/>
        <w:rPr>
          <w:rFonts w:eastAsia="Calibri"/>
        </w:rPr>
      </w:pPr>
      <w:r w:rsidRPr="00EF182D">
        <w:t xml:space="preserve">Detering, N. M., &amp; Waters, M. C. (2018). Flexible Coding of In-Depth Interviews: A Twenty-First Century Approach. </w:t>
      </w:r>
      <w:r w:rsidRPr="00EF182D">
        <w:rPr>
          <w:i/>
          <w:iCs/>
        </w:rPr>
        <w:t>Sociological Methods and Research</w:t>
      </w:r>
      <w:r w:rsidRPr="00EF182D">
        <w:t>.</w:t>
      </w:r>
    </w:p>
    <w:p w14:paraId="3B0E7FBD" w14:textId="53FC0398" w:rsidR="00834E9C" w:rsidRDefault="00834E9C" w:rsidP="009974E0">
      <w:pPr>
        <w:ind w:left="720" w:hanging="720"/>
      </w:pPr>
      <w:r w:rsidRPr="00834E9C">
        <w:t>Frank, O., &amp; Strauss, D. (1986). Markov graphs. </w:t>
      </w:r>
      <w:r w:rsidRPr="00834E9C">
        <w:rPr>
          <w:i/>
          <w:iCs/>
        </w:rPr>
        <w:t xml:space="preserve">Journal of the </w:t>
      </w:r>
      <w:r w:rsidR="00E806FF">
        <w:rPr>
          <w:i/>
          <w:iCs/>
        </w:rPr>
        <w:t>A</w:t>
      </w:r>
      <w:r w:rsidRPr="00834E9C">
        <w:rPr>
          <w:i/>
          <w:iCs/>
        </w:rPr>
        <w:t xml:space="preserve">merican Statistical </w:t>
      </w:r>
      <w:r w:rsidR="0033574E">
        <w:rPr>
          <w:i/>
          <w:iCs/>
        </w:rPr>
        <w:t>A</w:t>
      </w:r>
      <w:r w:rsidRPr="00834E9C">
        <w:rPr>
          <w:i/>
          <w:iCs/>
        </w:rPr>
        <w:t>ssociation</w:t>
      </w:r>
      <w:r w:rsidRPr="00834E9C">
        <w:t>, </w:t>
      </w:r>
      <w:r w:rsidRPr="00834E9C">
        <w:rPr>
          <w:i/>
          <w:iCs/>
        </w:rPr>
        <w:t>81</w:t>
      </w:r>
      <w:r w:rsidRPr="00834E9C">
        <w:t>(395), 832-842.</w:t>
      </w:r>
    </w:p>
    <w:p w14:paraId="72E236E2" w14:textId="44D1AE0A" w:rsidR="001F188C" w:rsidRPr="00120A86" w:rsidRDefault="001F188C" w:rsidP="009974E0">
      <w:pPr>
        <w:ind w:left="720" w:hanging="720"/>
      </w:pPr>
      <w:r w:rsidRPr="00120A86">
        <w:t>Glaze, L</w:t>
      </w:r>
      <w:r w:rsidR="005C30DC">
        <w:t>.</w:t>
      </w:r>
      <w:r w:rsidRPr="00120A86">
        <w:t xml:space="preserve"> E., </w:t>
      </w:r>
      <w:r w:rsidR="005C30DC">
        <w:t>&amp;</w:t>
      </w:r>
      <w:r w:rsidRPr="00120A86">
        <w:t xml:space="preserve"> Maruschak</w:t>
      </w:r>
      <w:r w:rsidR="005C30DC">
        <w:t>, L.M</w:t>
      </w:r>
      <w:r w:rsidRPr="00120A86">
        <w:t xml:space="preserve">. </w:t>
      </w:r>
      <w:r w:rsidR="005C30DC">
        <w:t>(</w:t>
      </w:r>
      <w:r w:rsidRPr="00120A86">
        <w:t>2008</w:t>
      </w:r>
      <w:r w:rsidR="005C30DC">
        <w:t>)</w:t>
      </w:r>
      <w:r w:rsidRPr="00120A86">
        <w:t xml:space="preserve">. </w:t>
      </w:r>
      <w:r w:rsidRPr="00120A86">
        <w:rPr>
          <w:i/>
          <w:iCs/>
        </w:rPr>
        <w:t>Parents in prison and their minor children</w:t>
      </w:r>
      <w:r w:rsidRPr="00120A86">
        <w:t>. Washington, DC: US Department of Justice, Office of Justice Programs.</w:t>
      </w:r>
    </w:p>
    <w:p w14:paraId="4EEA132E" w14:textId="08F2A8B5" w:rsidR="00BF44B1" w:rsidRDefault="00BF44B1" w:rsidP="009974E0">
      <w:pPr>
        <w:ind w:left="720" w:hanging="720"/>
      </w:pPr>
      <w:r w:rsidRPr="00BF44B1">
        <w:t>Goffman, E. (</w:t>
      </w:r>
      <w:r>
        <w:t>1963</w:t>
      </w:r>
      <w:r w:rsidRPr="00BF44B1">
        <w:t>). </w:t>
      </w:r>
      <w:r w:rsidRPr="00BF44B1">
        <w:rPr>
          <w:i/>
          <w:iCs/>
        </w:rPr>
        <w:t>Stigma: Notes on the management of spoiled identity</w:t>
      </w:r>
      <w:r w:rsidRPr="00BF44B1">
        <w:t>. Simon and Schuster.</w:t>
      </w:r>
    </w:p>
    <w:p w14:paraId="6A434131" w14:textId="094FA142" w:rsidR="004712A8" w:rsidRDefault="004712A8" w:rsidP="009974E0">
      <w:pPr>
        <w:ind w:left="720" w:hanging="720"/>
      </w:pPr>
      <w:r w:rsidRPr="004712A8">
        <w:t>Greer, K. R. (2000). The changing nature of interpersonal relationships in a women's prison. </w:t>
      </w:r>
      <w:r w:rsidRPr="004712A8">
        <w:rPr>
          <w:i/>
          <w:iCs/>
        </w:rPr>
        <w:t>The Prison Journal</w:t>
      </w:r>
      <w:r w:rsidRPr="004712A8">
        <w:t>, </w:t>
      </w:r>
      <w:r w:rsidRPr="004712A8">
        <w:rPr>
          <w:i/>
          <w:iCs/>
        </w:rPr>
        <w:t>80</w:t>
      </w:r>
      <w:r w:rsidRPr="004712A8">
        <w:t>(4), 442-468.</w:t>
      </w:r>
    </w:p>
    <w:p w14:paraId="55E970D3" w14:textId="69B9ACB1" w:rsidR="00505591" w:rsidRPr="009771F5" w:rsidRDefault="00505591" w:rsidP="00505591">
      <w:pPr>
        <w:ind w:left="720" w:hanging="720"/>
        <w:rPr>
          <w:rFonts w:ascii="Times" w:hAnsi="Times" w:cs="Times"/>
        </w:rPr>
      </w:pPr>
      <w:r w:rsidRPr="009771F5">
        <w:rPr>
          <w:rFonts w:ascii="Times" w:hAnsi="Times" w:cs="Times"/>
        </w:rPr>
        <w:t xml:space="preserve">Grzywacz, J. G., Hovey, J. D., Seligman, L. D., </w:t>
      </w:r>
      <w:proofErr w:type="spellStart"/>
      <w:r w:rsidRPr="009771F5">
        <w:rPr>
          <w:rFonts w:ascii="Times" w:hAnsi="Times" w:cs="Times"/>
        </w:rPr>
        <w:t>Arcury</w:t>
      </w:r>
      <w:proofErr w:type="spellEnd"/>
      <w:r w:rsidRPr="009771F5">
        <w:rPr>
          <w:rFonts w:ascii="Times" w:hAnsi="Times" w:cs="Times"/>
        </w:rPr>
        <w:t xml:space="preserve">, T. A., &amp; Quandt, S. A. (2006). Evaluating Short-Form Versions of the CES-D for Measuring Depressive Symptoms Among Immigrants </w:t>
      </w:r>
      <w:r w:rsidR="00907091">
        <w:rPr>
          <w:rFonts w:ascii="Times" w:hAnsi="Times" w:cs="Times"/>
        </w:rPr>
        <w:t>f</w:t>
      </w:r>
      <w:r w:rsidRPr="009771F5">
        <w:rPr>
          <w:rFonts w:ascii="Times" w:hAnsi="Times" w:cs="Times"/>
        </w:rPr>
        <w:t xml:space="preserve">rom Mexico. </w:t>
      </w:r>
      <w:r w:rsidRPr="00907091">
        <w:rPr>
          <w:rFonts w:ascii="Times" w:hAnsi="Times" w:cs="Times"/>
          <w:i/>
          <w:iCs/>
        </w:rPr>
        <w:t>Hispanic Journal of Behavioral Sciences, 28</w:t>
      </w:r>
      <w:r w:rsidRPr="009771F5">
        <w:rPr>
          <w:rFonts w:ascii="Times" w:hAnsi="Times" w:cs="Times"/>
        </w:rPr>
        <w:t>(3), 404–424.</w:t>
      </w:r>
    </w:p>
    <w:p w14:paraId="2A52AFA5" w14:textId="0622C1A7" w:rsidR="00834E9C" w:rsidRDefault="00834E9C" w:rsidP="009974E0">
      <w:pPr>
        <w:ind w:left="720" w:hanging="720"/>
      </w:pPr>
      <w:r w:rsidRPr="00834E9C">
        <w:t xml:space="preserve">Holland, P. W., &amp; </w:t>
      </w:r>
      <w:proofErr w:type="spellStart"/>
      <w:r w:rsidRPr="00834E9C">
        <w:t>Leinhardt</w:t>
      </w:r>
      <w:proofErr w:type="spellEnd"/>
      <w:r w:rsidRPr="00834E9C">
        <w:t>, S. (1981). An exponential family of probability distributions for directed graphs. </w:t>
      </w:r>
      <w:r w:rsidRPr="00834E9C">
        <w:rPr>
          <w:i/>
          <w:iCs/>
        </w:rPr>
        <w:t xml:space="preserve">Journal of the </w:t>
      </w:r>
      <w:r w:rsidR="00E806FF">
        <w:rPr>
          <w:i/>
          <w:iCs/>
        </w:rPr>
        <w:t>A</w:t>
      </w:r>
      <w:r w:rsidRPr="00834E9C">
        <w:rPr>
          <w:i/>
          <w:iCs/>
        </w:rPr>
        <w:t>merican Statistical association</w:t>
      </w:r>
      <w:r w:rsidRPr="00834E9C">
        <w:t>, </w:t>
      </w:r>
      <w:r w:rsidRPr="00834E9C">
        <w:rPr>
          <w:i/>
          <w:iCs/>
        </w:rPr>
        <w:t>76</w:t>
      </w:r>
      <w:r w:rsidRPr="00834E9C">
        <w:t>(373), 33-50.</w:t>
      </w:r>
    </w:p>
    <w:p w14:paraId="7D5A6BD9" w14:textId="4B5F83DE" w:rsidR="00573651" w:rsidRPr="00573651" w:rsidRDefault="00573651" w:rsidP="009974E0">
      <w:pPr>
        <w:ind w:left="720" w:hanging="720"/>
      </w:pPr>
      <w:r w:rsidRPr="00573651">
        <w:t xml:space="preserve">Hunter, D. R., Handcock, M. S., Butts, C. T., Goodreau, S. M., &amp; Morris, M. </w:t>
      </w:r>
      <w:r w:rsidR="00553C6B">
        <w:t>(</w:t>
      </w:r>
      <w:r w:rsidRPr="00573651">
        <w:t>2008</w:t>
      </w:r>
      <w:r w:rsidR="00553C6B">
        <w:t>)</w:t>
      </w:r>
      <w:r w:rsidRPr="00573651">
        <w:t xml:space="preserve">. </w:t>
      </w:r>
      <w:proofErr w:type="spellStart"/>
      <w:r w:rsidRPr="00573651">
        <w:t>ergm</w:t>
      </w:r>
      <w:proofErr w:type="spellEnd"/>
      <w:r w:rsidRPr="00573651">
        <w:t xml:space="preserve">: A package to fit, simulate and diagnose exponential-family models for networks. </w:t>
      </w:r>
      <w:r w:rsidRPr="00573651">
        <w:rPr>
          <w:i/>
          <w:iCs/>
        </w:rPr>
        <w:t>Journal of Statistical Software</w:t>
      </w:r>
      <w:r w:rsidRPr="00573651">
        <w:t xml:space="preserve">, </w:t>
      </w:r>
      <w:r w:rsidRPr="00573651">
        <w:rPr>
          <w:i/>
          <w:iCs/>
        </w:rPr>
        <w:t>24</w:t>
      </w:r>
      <w:r w:rsidRPr="00573651">
        <w:t xml:space="preserve">(3). </w:t>
      </w:r>
    </w:p>
    <w:p w14:paraId="7F79CC68" w14:textId="622DD037" w:rsidR="00996BCF" w:rsidRPr="00996BCF" w:rsidRDefault="00996BCF" w:rsidP="009974E0">
      <w:pPr>
        <w:ind w:left="720" w:hanging="720"/>
      </w:pPr>
      <w:r w:rsidRPr="00996BCF">
        <w:t xml:space="preserve">Kreager, D. A., &amp; </w:t>
      </w:r>
      <w:proofErr w:type="spellStart"/>
      <w:r w:rsidRPr="00996BCF">
        <w:t>Kruttschnitt</w:t>
      </w:r>
      <w:proofErr w:type="spellEnd"/>
      <w:r w:rsidRPr="00996BCF">
        <w:t>, C. (2018). Inmate society in the era of mass incarc</w:t>
      </w:r>
      <w:r w:rsidR="005A7AE2">
        <w:t>er</w:t>
      </w:r>
      <w:r w:rsidRPr="00996BCF">
        <w:t xml:space="preserve">ation. </w:t>
      </w:r>
      <w:r w:rsidRPr="00996BCF">
        <w:rPr>
          <w:i/>
        </w:rPr>
        <w:t xml:space="preserve">Annual Review of Criminology, 1, </w:t>
      </w:r>
      <w:r w:rsidRPr="00996BCF">
        <w:t xml:space="preserve">261-283. </w:t>
      </w:r>
    </w:p>
    <w:p w14:paraId="1B048C47" w14:textId="77777777" w:rsidR="00246670" w:rsidRDefault="00246670" w:rsidP="009974E0">
      <w:pPr>
        <w:ind w:left="720" w:hanging="720"/>
      </w:pPr>
      <w:r w:rsidRPr="00246670">
        <w:t>Kreager, D. A., Schaefer, D. R., Bouchard, M., Haynie, D. L., Wakefield, S., Young, J., &amp; Zajac, G. (2016). Toward a criminology of inmate networks. </w:t>
      </w:r>
      <w:r w:rsidRPr="00246670">
        <w:rPr>
          <w:i/>
          <w:iCs/>
        </w:rPr>
        <w:t>Justice Quarterly</w:t>
      </w:r>
      <w:r w:rsidRPr="00246670">
        <w:t>, </w:t>
      </w:r>
      <w:r w:rsidRPr="00246670">
        <w:rPr>
          <w:i/>
          <w:iCs/>
        </w:rPr>
        <w:t>33</w:t>
      </w:r>
      <w:r w:rsidRPr="00246670">
        <w:t>(6), 1000-1028.</w:t>
      </w:r>
    </w:p>
    <w:p w14:paraId="357ECE83" w14:textId="749BE09B" w:rsidR="00297F8B" w:rsidRPr="00297F8B" w:rsidRDefault="00297F8B" w:rsidP="009974E0">
      <w:pPr>
        <w:ind w:left="720" w:hanging="720"/>
      </w:pPr>
      <w:r w:rsidRPr="00297F8B">
        <w:t xml:space="preserve">Kreager, D. A., Young, J. T. N., Haynie, D. L., Bouchard, M., Schaefer, D. R., &amp; Zajac, G. (2017). Where “old heads” prevail: Inmate hierarchy in a men’s prison unit. </w:t>
      </w:r>
      <w:r w:rsidRPr="00297F8B">
        <w:rPr>
          <w:i/>
          <w:iCs/>
        </w:rPr>
        <w:t>American Sociological Review</w:t>
      </w:r>
      <w:r w:rsidRPr="00297F8B">
        <w:t xml:space="preserve">, </w:t>
      </w:r>
      <w:r w:rsidRPr="00297F8B">
        <w:rPr>
          <w:i/>
          <w:iCs/>
        </w:rPr>
        <w:t>82</w:t>
      </w:r>
      <w:r w:rsidRPr="00297F8B">
        <w:t>(4)</w:t>
      </w:r>
      <w:r w:rsidR="00CD7A81">
        <w:t>, 685-718</w:t>
      </w:r>
      <w:r w:rsidRPr="00297F8B">
        <w:t xml:space="preserve">. </w:t>
      </w:r>
    </w:p>
    <w:p w14:paraId="114A5C9C" w14:textId="77777777" w:rsidR="00026EC7" w:rsidRDefault="00026EC7" w:rsidP="009974E0">
      <w:pPr>
        <w:ind w:left="720" w:hanging="720"/>
      </w:pPr>
      <w:r w:rsidRPr="00026EC7">
        <w:t>Kreager, D. A., Young, J. T., Haynie, D. L., Schaefer, D. R., Bouchard, M., &amp; Davidson, K. M. (2021). In the eye of the beholder: Meaning and structure of informal status in women's and men's prisons. </w:t>
      </w:r>
      <w:r w:rsidRPr="00026EC7">
        <w:rPr>
          <w:i/>
          <w:iCs/>
        </w:rPr>
        <w:t>Criminology</w:t>
      </w:r>
      <w:r w:rsidRPr="00026EC7">
        <w:t>, </w:t>
      </w:r>
      <w:r w:rsidRPr="00026EC7">
        <w:rPr>
          <w:i/>
          <w:iCs/>
        </w:rPr>
        <w:t>59</w:t>
      </w:r>
      <w:r w:rsidRPr="00026EC7">
        <w:t>(1), 42-72.</w:t>
      </w:r>
    </w:p>
    <w:p w14:paraId="5C955114" w14:textId="01E6E0CA" w:rsidR="003D2E2D" w:rsidRPr="00120A86" w:rsidRDefault="003D2E2D" w:rsidP="009974E0">
      <w:pPr>
        <w:ind w:left="720" w:hanging="720"/>
      </w:pPr>
      <w:r w:rsidRPr="00120A86">
        <w:t xml:space="preserve">National Academy of Sciences. </w:t>
      </w:r>
      <w:r w:rsidR="005431AF">
        <w:t>(</w:t>
      </w:r>
      <w:r w:rsidRPr="00120A86">
        <w:t>2014</w:t>
      </w:r>
      <w:r w:rsidR="005431AF">
        <w:t>)</w:t>
      </w:r>
      <w:r w:rsidRPr="00120A86">
        <w:t>. The growth of incarceration in the United States: Exploring causes and consequences. Jeremy Travis, Bruce Western, and Steve Redburn (Eds.). Washington, DC: The National Academies Press.</w:t>
      </w:r>
    </w:p>
    <w:p w14:paraId="345311E8" w14:textId="77777777" w:rsidR="004712A8" w:rsidRDefault="004712A8" w:rsidP="009974E0">
      <w:pPr>
        <w:ind w:left="720" w:hanging="720"/>
      </w:pPr>
      <w:r w:rsidRPr="004712A8">
        <w:t>Owen, B. (1998). </w:t>
      </w:r>
      <w:r w:rsidRPr="004712A8">
        <w:rPr>
          <w:i/>
          <w:iCs/>
        </w:rPr>
        <w:t>In the mix: Struggle and survival in a women's prison</w:t>
      </w:r>
      <w:r w:rsidRPr="004712A8">
        <w:t>. SUNY Press.</w:t>
      </w:r>
    </w:p>
    <w:p w14:paraId="7BB4BF69" w14:textId="3B13A7CA" w:rsidR="004B4568" w:rsidRPr="009771F5" w:rsidRDefault="004B4568" w:rsidP="004B4568">
      <w:pPr>
        <w:ind w:left="720" w:hanging="720"/>
        <w:rPr>
          <w:rFonts w:ascii="Times" w:hAnsi="Times" w:cs="Times"/>
        </w:rPr>
      </w:pPr>
      <w:r w:rsidRPr="009771F5">
        <w:rPr>
          <w:rFonts w:ascii="Times" w:hAnsi="Times" w:cs="Times"/>
        </w:rPr>
        <w:t xml:space="preserve">Perry, B. L. (2014). Symptoms, stigma, or secondary social disruption: Three mechanisms of network dynamics in severe mental illness. </w:t>
      </w:r>
      <w:r w:rsidRPr="00175BB0">
        <w:rPr>
          <w:rFonts w:ascii="Times" w:hAnsi="Times" w:cs="Times"/>
          <w:i/>
          <w:iCs/>
        </w:rPr>
        <w:t>Journal of Social and Personal Relationships, 31</w:t>
      </w:r>
      <w:r w:rsidRPr="009771F5">
        <w:rPr>
          <w:rFonts w:ascii="Times" w:hAnsi="Times" w:cs="Times"/>
        </w:rPr>
        <w:t xml:space="preserve">(1), 32–53. </w:t>
      </w:r>
    </w:p>
    <w:p w14:paraId="30533254" w14:textId="28D9BDAE" w:rsidR="00E0357A" w:rsidRPr="009771F5" w:rsidRDefault="00E0357A" w:rsidP="00E0357A">
      <w:pPr>
        <w:ind w:left="720" w:hanging="720"/>
        <w:rPr>
          <w:rFonts w:ascii="Times" w:hAnsi="Times" w:cs="Times"/>
        </w:rPr>
      </w:pPr>
      <w:r w:rsidRPr="009771F5">
        <w:rPr>
          <w:rFonts w:ascii="Times" w:hAnsi="Times" w:cs="Times"/>
        </w:rPr>
        <w:t xml:space="preserve">Radloff, L. S. (1977). The CES-D Scale: A Self-Report Depression Scale for Research in the General Population. </w:t>
      </w:r>
      <w:r w:rsidRPr="00E0357A">
        <w:rPr>
          <w:rFonts w:ascii="Times" w:hAnsi="Times" w:cs="Times"/>
          <w:i/>
          <w:iCs/>
        </w:rPr>
        <w:t>Applied Psychological Measurement, 1</w:t>
      </w:r>
      <w:r w:rsidRPr="009771F5">
        <w:rPr>
          <w:rFonts w:ascii="Times" w:hAnsi="Times" w:cs="Times"/>
        </w:rPr>
        <w:t xml:space="preserve">(3), 385–401. </w:t>
      </w:r>
    </w:p>
    <w:p w14:paraId="43EEDB8B" w14:textId="77777777" w:rsidR="00834E9C" w:rsidRDefault="00834E9C" w:rsidP="009974E0">
      <w:pPr>
        <w:ind w:left="720" w:hanging="720"/>
      </w:pPr>
      <w:r w:rsidRPr="00834E9C">
        <w:t>Robins, G., Snijders, T., Wang, P., Handcock, M., &amp; Pattison, P. (2007). Recent developments in exponential random graph (p*) models for social networks. </w:t>
      </w:r>
      <w:r w:rsidRPr="00834E9C">
        <w:rPr>
          <w:i/>
          <w:iCs/>
        </w:rPr>
        <w:t>Social networks</w:t>
      </w:r>
      <w:r w:rsidRPr="00834E9C">
        <w:t>, </w:t>
      </w:r>
      <w:r w:rsidRPr="00834E9C">
        <w:rPr>
          <w:i/>
          <w:iCs/>
        </w:rPr>
        <w:t>29</w:t>
      </w:r>
      <w:r w:rsidRPr="00834E9C">
        <w:t>(2), 192-215.</w:t>
      </w:r>
    </w:p>
    <w:p w14:paraId="238D2169" w14:textId="2BC1C6A8" w:rsidR="00BF44B1" w:rsidRDefault="00BF44B1" w:rsidP="009974E0">
      <w:pPr>
        <w:ind w:left="720" w:hanging="720"/>
      </w:pPr>
      <w:r w:rsidRPr="00BF44B1">
        <w:t>Schaefer, D. R., Bouchard, M., Young, J. T., &amp; Kreager, D. A. (2017). Friends in locked places: An investigation of prison inmate network structure. </w:t>
      </w:r>
      <w:r w:rsidRPr="00BF44B1">
        <w:rPr>
          <w:i/>
          <w:iCs/>
        </w:rPr>
        <w:t>Social Networks</w:t>
      </w:r>
      <w:r w:rsidRPr="00BF44B1">
        <w:t>, </w:t>
      </w:r>
      <w:r w:rsidRPr="00BF44B1">
        <w:rPr>
          <w:i/>
          <w:iCs/>
        </w:rPr>
        <w:t>51</w:t>
      </w:r>
      <w:r w:rsidRPr="00BF44B1">
        <w:t>, 88-103.</w:t>
      </w:r>
    </w:p>
    <w:p w14:paraId="7FD7AC60" w14:textId="7FCBF111" w:rsidR="00503C83" w:rsidRPr="009771F5" w:rsidRDefault="00503C83" w:rsidP="00503C83">
      <w:pPr>
        <w:ind w:left="720" w:hanging="720"/>
        <w:rPr>
          <w:rFonts w:ascii="Times" w:hAnsi="Times" w:cs="Times"/>
        </w:rPr>
      </w:pPr>
      <w:r w:rsidRPr="009771F5">
        <w:rPr>
          <w:rFonts w:ascii="Times" w:hAnsi="Times" w:cs="Times"/>
        </w:rPr>
        <w:t xml:space="preserve">Schaefer, D. R., Kornienko, O., &amp; Fox, A. M. (2011). Misery Does Not Love Company: Network Selection Mechanisms and Depression Homophily. </w:t>
      </w:r>
      <w:r w:rsidRPr="00946957">
        <w:rPr>
          <w:rFonts w:ascii="Times" w:hAnsi="Times" w:cs="Times"/>
          <w:i/>
          <w:iCs/>
        </w:rPr>
        <w:t>American Sociological Review, 76</w:t>
      </w:r>
      <w:r w:rsidRPr="009771F5">
        <w:rPr>
          <w:rFonts w:ascii="Times" w:hAnsi="Times" w:cs="Times"/>
        </w:rPr>
        <w:t xml:space="preserve">(5), 764–785. </w:t>
      </w:r>
    </w:p>
    <w:p w14:paraId="59F22ACE" w14:textId="7675E2DD" w:rsidR="004712A8" w:rsidRDefault="004712A8" w:rsidP="009974E0">
      <w:pPr>
        <w:ind w:left="720" w:hanging="720"/>
      </w:pPr>
      <w:r w:rsidRPr="004712A8">
        <w:t>Selling, L. S. (1931). The pseudo family. </w:t>
      </w:r>
      <w:r w:rsidRPr="004712A8">
        <w:rPr>
          <w:i/>
          <w:iCs/>
        </w:rPr>
        <w:t>American Journal of Sociology</w:t>
      </w:r>
      <w:r w:rsidRPr="004712A8">
        <w:t>, </w:t>
      </w:r>
      <w:r w:rsidRPr="004712A8">
        <w:rPr>
          <w:i/>
          <w:iCs/>
        </w:rPr>
        <w:t>37</w:t>
      </w:r>
      <w:r w:rsidRPr="004712A8">
        <w:t>(2), 247-253.</w:t>
      </w:r>
    </w:p>
    <w:p w14:paraId="55EE6B38" w14:textId="2A5D89B3" w:rsidR="00BF44B1" w:rsidRDefault="00BF44B1" w:rsidP="009974E0">
      <w:pPr>
        <w:ind w:left="720" w:hanging="720"/>
      </w:pPr>
      <w:proofErr w:type="spellStart"/>
      <w:r w:rsidRPr="00BF44B1">
        <w:t>Siennick</w:t>
      </w:r>
      <w:proofErr w:type="spellEnd"/>
      <w:r w:rsidRPr="00BF44B1">
        <w:t>, S. E., Mears, D. P., &amp; Bales, W. D. (2013). Here and gone: Anticipation and separation effects of prison visits on inmate infractions. </w:t>
      </w:r>
      <w:r w:rsidRPr="00BF44B1">
        <w:rPr>
          <w:i/>
          <w:iCs/>
        </w:rPr>
        <w:t>Journal of Research in Crime and Delinquency</w:t>
      </w:r>
      <w:r w:rsidRPr="00BF44B1">
        <w:t>, </w:t>
      </w:r>
      <w:r w:rsidRPr="00BF44B1">
        <w:rPr>
          <w:i/>
          <w:iCs/>
        </w:rPr>
        <w:t>50</w:t>
      </w:r>
      <w:r w:rsidRPr="00BF44B1">
        <w:t>(3), 417-444.</w:t>
      </w:r>
    </w:p>
    <w:p w14:paraId="61786354" w14:textId="56C3D0B4" w:rsidR="00150778" w:rsidRDefault="00150778" w:rsidP="009974E0">
      <w:pPr>
        <w:ind w:left="720" w:hanging="720"/>
      </w:pPr>
      <w:r w:rsidRPr="00AA3D6D">
        <w:t xml:space="preserve">Smoyer, A. B., Blankenship, K. M., &amp; Belt, B. (2009). Compensation for Incarcerated Research Participants: Diverse State Policies Suggest a New Research Agenda. </w:t>
      </w:r>
      <w:r w:rsidRPr="005B0AF3">
        <w:rPr>
          <w:i/>
          <w:iCs/>
        </w:rPr>
        <w:t>American Journal of Public Health</w:t>
      </w:r>
      <w:r w:rsidRPr="005B0AF3">
        <w:t xml:space="preserve">, </w:t>
      </w:r>
      <w:r w:rsidRPr="00505591">
        <w:rPr>
          <w:i/>
          <w:iCs/>
        </w:rPr>
        <w:t>99</w:t>
      </w:r>
      <w:r w:rsidRPr="00505591">
        <w:t>(10), 1746–1752</w:t>
      </w:r>
      <w:r w:rsidRPr="00E0357A">
        <w:t>.</w:t>
      </w:r>
      <w:r w:rsidRPr="00150778">
        <w:t xml:space="preserve"> </w:t>
      </w:r>
    </w:p>
    <w:p w14:paraId="39556883" w14:textId="4C2F842C" w:rsidR="00B77053" w:rsidRPr="0052209F" w:rsidRDefault="00E276D8" w:rsidP="009974E0">
      <w:pPr>
        <w:ind w:left="720" w:hanging="720"/>
      </w:pPr>
      <w:r>
        <w:t xml:space="preserve">Sykes, G. (2007). </w:t>
      </w:r>
      <w:r w:rsidR="00E663FC">
        <w:rPr>
          <w:i/>
          <w:iCs/>
        </w:rPr>
        <w:t xml:space="preserve">The society of captives: </w:t>
      </w:r>
      <w:r w:rsidR="00B92230">
        <w:rPr>
          <w:i/>
          <w:iCs/>
        </w:rPr>
        <w:t xml:space="preserve">A study of </w:t>
      </w:r>
      <w:r w:rsidR="0052209F">
        <w:rPr>
          <w:i/>
          <w:iCs/>
        </w:rPr>
        <w:t xml:space="preserve">a </w:t>
      </w:r>
      <w:proofErr w:type="gramStart"/>
      <w:r w:rsidR="0052209F">
        <w:rPr>
          <w:i/>
          <w:iCs/>
        </w:rPr>
        <w:t>maximum security</w:t>
      </w:r>
      <w:proofErr w:type="gramEnd"/>
      <w:r w:rsidR="0052209F">
        <w:rPr>
          <w:i/>
          <w:iCs/>
        </w:rPr>
        <w:t xml:space="preserve"> prison. </w:t>
      </w:r>
      <w:r w:rsidR="00334749">
        <w:t>Princeton University Press. (</w:t>
      </w:r>
      <w:r w:rsidR="00A0570A">
        <w:t>Original work published 1958)</w:t>
      </w:r>
    </w:p>
    <w:p w14:paraId="03E1CB0D" w14:textId="79934D5C" w:rsidR="00391E59" w:rsidRPr="00401BA6" w:rsidRDefault="00391E59" w:rsidP="00752336">
      <w:pPr>
        <w:tabs>
          <w:tab w:val="num" w:pos="720"/>
        </w:tabs>
        <w:spacing w:after="120"/>
        <w:ind w:left="720" w:hanging="720"/>
        <w:rPr>
          <w:iCs/>
        </w:rPr>
      </w:pPr>
      <w:r w:rsidRPr="00401BA6">
        <w:rPr>
          <w:iCs/>
        </w:rPr>
        <w:t xml:space="preserve">TCU Institute of Behavioral Research. </w:t>
      </w:r>
      <w:r>
        <w:rPr>
          <w:iCs/>
        </w:rPr>
        <w:t>(</w:t>
      </w:r>
      <w:r w:rsidRPr="00401BA6">
        <w:rPr>
          <w:iCs/>
        </w:rPr>
        <w:t>2014</w:t>
      </w:r>
      <w:r>
        <w:rPr>
          <w:iCs/>
        </w:rPr>
        <w:t>)</w:t>
      </w:r>
      <w:r w:rsidRPr="00401BA6">
        <w:rPr>
          <w:iCs/>
        </w:rPr>
        <w:t xml:space="preserve">. </w:t>
      </w:r>
      <w:r w:rsidRPr="00752336">
        <w:rPr>
          <w:i/>
        </w:rPr>
        <w:t>Texas Christian University Drug Screen V</w:t>
      </w:r>
      <w:r w:rsidRPr="00401BA6">
        <w:rPr>
          <w:iCs/>
        </w:rPr>
        <w:t xml:space="preserve">. Fort Worth, TX. </w:t>
      </w:r>
    </w:p>
    <w:p w14:paraId="192C9FDF" w14:textId="6358005C" w:rsidR="00AE6A7B" w:rsidRDefault="00AE6A7B" w:rsidP="009974E0">
      <w:pPr>
        <w:ind w:left="720" w:hanging="720"/>
      </w:pPr>
      <w:r w:rsidRPr="00120A86">
        <w:t>Turanovic, J</w:t>
      </w:r>
      <w:r w:rsidR="00BD17D7">
        <w:t>.</w:t>
      </w:r>
      <w:r w:rsidRPr="00120A86">
        <w:t xml:space="preserve"> J., Rodriguez</w:t>
      </w:r>
      <w:r w:rsidR="008432BF">
        <w:t>, N.</w:t>
      </w:r>
      <w:r w:rsidRPr="00120A86">
        <w:t>,</w:t>
      </w:r>
      <w:r w:rsidR="008432BF">
        <w:t xml:space="preserve"> &amp; </w:t>
      </w:r>
      <w:r w:rsidRPr="00120A86">
        <w:t>Pratt</w:t>
      </w:r>
      <w:r w:rsidR="008432BF">
        <w:t>, T.C</w:t>
      </w:r>
      <w:r w:rsidRPr="00120A86">
        <w:t xml:space="preserve">. </w:t>
      </w:r>
      <w:r w:rsidR="008432BF">
        <w:t>(</w:t>
      </w:r>
      <w:r w:rsidRPr="00120A86">
        <w:t>2012</w:t>
      </w:r>
      <w:r w:rsidR="008432BF">
        <w:t>)</w:t>
      </w:r>
      <w:r w:rsidRPr="00120A86">
        <w:t xml:space="preserve">. The collateral consequences of incarceration revisited: A qualitative analysis of the effects of caregivers of children of incarcerated parents. </w:t>
      </w:r>
      <w:r w:rsidRPr="00120A86">
        <w:rPr>
          <w:i/>
          <w:iCs/>
        </w:rPr>
        <w:t>Criminology</w:t>
      </w:r>
      <w:r w:rsidR="00F8105D">
        <w:rPr>
          <w:i/>
          <w:iCs/>
        </w:rPr>
        <w:t>,</w:t>
      </w:r>
      <w:r w:rsidRPr="00120A86">
        <w:t xml:space="preserve"> </w:t>
      </w:r>
      <w:r w:rsidRPr="008432BF">
        <w:rPr>
          <w:i/>
          <w:iCs/>
        </w:rPr>
        <w:t>50</w:t>
      </w:r>
      <w:r w:rsidRPr="00120A86">
        <w:t>(4)</w:t>
      </w:r>
      <w:r w:rsidR="00C23FA9">
        <w:t xml:space="preserve">, </w:t>
      </w:r>
      <w:r w:rsidRPr="00120A86">
        <w:t>913-959.</w:t>
      </w:r>
    </w:p>
    <w:p w14:paraId="49C5447F" w14:textId="6C7FD6D9" w:rsidR="00AB67BC" w:rsidRPr="009771F5" w:rsidRDefault="00AB67BC" w:rsidP="00AB67BC">
      <w:pPr>
        <w:ind w:left="720" w:hanging="720"/>
        <w:rPr>
          <w:rFonts w:ascii="Times" w:hAnsi="Times" w:cs="Times"/>
        </w:rPr>
      </w:pPr>
      <w:r w:rsidRPr="009771F5">
        <w:rPr>
          <w:rFonts w:ascii="Times" w:hAnsi="Times" w:cs="Times"/>
        </w:rPr>
        <w:t xml:space="preserve">Van Zalk, M. H. W., Kerr, M., Branje, S. J. T., Stattin, H., &amp; </w:t>
      </w:r>
      <w:proofErr w:type="spellStart"/>
      <w:r w:rsidRPr="009771F5">
        <w:rPr>
          <w:rFonts w:ascii="Times" w:hAnsi="Times" w:cs="Times"/>
        </w:rPr>
        <w:t>Meeus</w:t>
      </w:r>
      <w:proofErr w:type="spellEnd"/>
      <w:r w:rsidRPr="009771F5">
        <w:rPr>
          <w:rFonts w:ascii="Times" w:hAnsi="Times" w:cs="Times"/>
        </w:rPr>
        <w:t xml:space="preserve">, W. H. J. (2010). It takes three: Selection, influence, and de-selection processes of depression in adolescent friendship networks. </w:t>
      </w:r>
      <w:r w:rsidRPr="00AB67BC">
        <w:rPr>
          <w:rFonts w:ascii="Times" w:hAnsi="Times" w:cs="Times"/>
          <w:i/>
          <w:iCs/>
        </w:rPr>
        <w:t>Developmental Psychology, 46</w:t>
      </w:r>
      <w:r w:rsidRPr="009771F5">
        <w:rPr>
          <w:rFonts w:ascii="Times" w:hAnsi="Times" w:cs="Times"/>
        </w:rPr>
        <w:t xml:space="preserve">(4), 927–938. </w:t>
      </w:r>
    </w:p>
    <w:p w14:paraId="6B18D251" w14:textId="141030A3" w:rsidR="00823ED2" w:rsidRPr="00AB32E5" w:rsidRDefault="00823ED2" w:rsidP="00823ED2">
      <w:pPr>
        <w:ind w:left="720" w:hanging="720"/>
        <w:rPr>
          <w:rFonts w:ascii="Times" w:hAnsi="Times" w:cs="Times"/>
        </w:rPr>
      </w:pPr>
      <w:r>
        <w:rPr>
          <w:rFonts w:ascii="Times" w:hAnsi="Times" w:cs="Times"/>
        </w:rPr>
        <w:t xml:space="preserve">Western, B., Braga, A., Hureau, D., Sirois, C. (2016). Study retention as bias reduction in a hard-to-reach population. </w:t>
      </w:r>
      <w:r>
        <w:rPr>
          <w:rFonts w:ascii="Times" w:hAnsi="Times" w:cs="Times"/>
          <w:i/>
          <w:iCs/>
        </w:rPr>
        <w:t>Proceedings of the National Academy of Sciences</w:t>
      </w:r>
      <w:r w:rsidR="002267A6">
        <w:rPr>
          <w:rFonts w:ascii="Times" w:hAnsi="Times" w:cs="Times"/>
          <w:i/>
          <w:iCs/>
        </w:rPr>
        <w:t>,</w:t>
      </w:r>
      <w:r>
        <w:rPr>
          <w:rFonts w:ascii="Times" w:hAnsi="Times" w:cs="Times"/>
          <w:i/>
          <w:iCs/>
        </w:rPr>
        <w:t xml:space="preserve"> </w:t>
      </w:r>
      <w:r w:rsidRPr="002267A6">
        <w:rPr>
          <w:rFonts w:ascii="Times" w:hAnsi="Times" w:cs="Times"/>
          <w:i/>
          <w:iCs/>
        </w:rPr>
        <w:t>20</w:t>
      </w:r>
      <w:r>
        <w:rPr>
          <w:rFonts w:ascii="Times" w:hAnsi="Times" w:cs="Times"/>
        </w:rPr>
        <w:t>, 5477-5485.</w:t>
      </w:r>
    </w:p>
    <w:p w14:paraId="46D6EB87" w14:textId="2DBBC15C" w:rsidR="00884D47" w:rsidRPr="00834E9C" w:rsidRDefault="00884D47" w:rsidP="009974E0">
      <w:pPr>
        <w:ind w:left="720" w:hanging="720"/>
      </w:pPr>
      <w:r w:rsidRPr="00834E9C">
        <w:t>Whichard, C., Schaefer, D. R., &amp; Kreager, D. A. (</w:t>
      </w:r>
      <w:r w:rsidR="003576BC" w:rsidRPr="00834E9C">
        <w:t>Forthcoming</w:t>
      </w:r>
      <w:r w:rsidRPr="00834E9C">
        <w:t xml:space="preserve">). Charting the hidden city: Collecting prison social network data. </w:t>
      </w:r>
      <w:r w:rsidRPr="00834E9C">
        <w:rPr>
          <w:i/>
        </w:rPr>
        <w:t xml:space="preserve">Social Networks. </w:t>
      </w:r>
    </w:p>
    <w:p w14:paraId="693F5143" w14:textId="357E8AF7" w:rsidR="007B6EAF" w:rsidRPr="00834E9C" w:rsidRDefault="007B6EAF" w:rsidP="009974E0">
      <w:pPr>
        <w:ind w:left="720" w:hanging="720"/>
      </w:pPr>
      <w:r w:rsidRPr="00834E9C">
        <w:t>Whichard, C</w:t>
      </w:r>
      <w:r w:rsidR="00DF5D07" w:rsidRPr="00834E9C">
        <w:t>.</w:t>
      </w:r>
      <w:r w:rsidRPr="00834E9C">
        <w:t>, Wakefield</w:t>
      </w:r>
      <w:r w:rsidR="00DF5D07" w:rsidRPr="00834E9C">
        <w:t>, S.</w:t>
      </w:r>
      <w:r w:rsidRPr="00834E9C">
        <w:t xml:space="preserve">, </w:t>
      </w:r>
      <w:r w:rsidR="00DF5D07" w:rsidRPr="00834E9C">
        <w:t>&amp;</w:t>
      </w:r>
      <w:r w:rsidRPr="00834E9C">
        <w:t xml:space="preserve"> Kreager</w:t>
      </w:r>
      <w:r w:rsidR="00DF5D07" w:rsidRPr="00834E9C">
        <w:t>, D.A</w:t>
      </w:r>
      <w:r w:rsidRPr="00834E9C">
        <w:t xml:space="preserve">. </w:t>
      </w:r>
      <w:r w:rsidR="00DF5D07" w:rsidRPr="00834E9C">
        <w:t>(</w:t>
      </w:r>
      <w:r w:rsidRPr="00834E9C">
        <w:t>2020</w:t>
      </w:r>
      <w:r w:rsidR="00DF5D07" w:rsidRPr="00834E9C">
        <w:t>)</w:t>
      </w:r>
      <w:r w:rsidRPr="00834E9C">
        <w:t xml:space="preserve">. Collecting Social Network Data in Prison and During Re-Entry: A Field Guide. </w:t>
      </w:r>
      <w:r w:rsidR="00C36822" w:rsidRPr="00834E9C">
        <w:t>I</w:t>
      </w:r>
      <w:r w:rsidRPr="00834E9C">
        <w:t>n</w:t>
      </w:r>
      <w:r w:rsidR="00A87D7A" w:rsidRPr="00834E9C">
        <w:t xml:space="preserve"> A. Leverentz, E. Chen, &amp; J. Christian (Eds.),</w:t>
      </w:r>
      <w:r w:rsidRPr="00834E9C">
        <w:t xml:space="preserve"> </w:t>
      </w:r>
      <w:r w:rsidRPr="00834E9C">
        <w:rPr>
          <w:i/>
        </w:rPr>
        <w:t>Moving Beyond Recidivism: Expanding Approaches to Research on Prisoner Reentry and Reintegration</w:t>
      </w:r>
      <w:r w:rsidRPr="00834E9C">
        <w:t xml:space="preserve"> </w:t>
      </w:r>
      <w:r w:rsidR="00A87D7A" w:rsidRPr="00834E9C">
        <w:t>(pp</w:t>
      </w:r>
      <w:r w:rsidR="001B69D3" w:rsidRPr="00834E9C">
        <w:t>. 81-99)</w:t>
      </w:r>
      <w:r w:rsidRPr="00834E9C">
        <w:t>. New York: NYU Press.</w:t>
      </w:r>
    </w:p>
    <w:p w14:paraId="4212B2D9" w14:textId="41C33CC9" w:rsidR="00581500" w:rsidRPr="00120A86" w:rsidRDefault="00581500" w:rsidP="009974E0">
      <w:pPr>
        <w:ind w:left="720" w:hanging="720"/>
      </w:pPr>
      <w:r w:rsidRPr="00834E9C">
        <w:t>Young, J. T., &amp; Haynie, D. L. (Forthcoming). Trusting the Untrustworthy: The Social Organization of Trust Among Incarcerated Women. </w:t>
      </w:r>
      <w:r w:rsidRPr="00834E9C">
        <w:rPr>
          <w:i/>
          <w:iCs/>
        </w:rPr>
        <w:t>Justice Quarterly</w:t>
      </w:r>
      <w:r w:rsidRPr="00834E9C">
        <w:t>.</w:t>
      </w:r>
    </w:p>
    <w:p w14:paraId="3A752A77" w14:textId="0DDDCC0B" w:rsidR="009603E9" w:rsidRDefault="009603E9" w:rsidP="009974E0">
      <w:pPr>
        <w:ind w:left="720" w:hanging="720"/>
      </w:pPr>
    </w:p>
    <w:p w14:paraId="071DE13B" w14:textId="77777777" w:rsidR="00CC2E73" w:rsidRPr="00CC2E73" w:rsidRDefault="00CC2E73" w:rsidP="009974E0"/>
    <w:sectPr w:rsidR="00CC2E73" w:rsidRPr="00CC2E73" w:rsidSect="003A2315">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068F" w14:textId="77777777" w:rsidR="00D36D9D" w:rsidRDefault="00D36D9D" w:rsidP="00FD1694">
      <w:r>
        <w:separator/>
      </w:r>
    </w:p>
  </w:endnote>
  <w:endnote w:type="continuationSeparator" w:id="0">
    <w:p w14:paraId="4E894656" w14:textId="77777777" w:rsidR="00D36D9D" w:rsidRDefault="00D36D9D" w:rsidP="00FD1694">
      <w:r>
        <w:continuationSeparator/>
      </w:r>
    </w:p>
  </w:endnote>
  <w:endnote w:type="continuationNotice" w:id="1">
    <w:p w14:paraId="026EF07C" w14:textId="77777777" w:rsidR="00D36D9D" w:rsidRDefault="00D36D9D" w:rsidP="00FD1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9BDE" w14:textId="77777777" w:rsidR="00C5757D" w:rsidRDefault="00C5757D">
    <w:pPr>
      <w:pStyle w:val="Footer"/>
      <w:jc w:val="center"/>
    </w:pPr>
  </w:p>
  <w:p w14:paraId="163D874E" w14:textId="77777777" w:rsidR="00C5757D" w:rsidRDefault="00C5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48411"/>
      <w:docPartObj>
        <w:docPartGallery w:val="Page Numbers (Bottom of Page)"/>
        <w:docPartUnique/>
      </w:docPartObj>
    </w:sdtPr>
    <w:sdtEndPr>
      <w:rPr>
        <w:noProof/>
      </w:rPr>
    </w:sdtEndPr>
    <w:sdtContent>
      <w:p w14:paraId="69C813E3" w14:textId="6202E991" w:rsidR="00C5757D" w:rsidRDefault="00C575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D5DF2" w14:textId="77777777" w:rsidR="00C5757D" w:rsidRDefault="00C57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2061" w14:textId="77777777" w:rsidR="00D36D9D" w:rsidRDefault="00D36D9D" w:rsidP="004A103B">
      <w:r>
        <w:separator/>
      </w:r>
    </w:p>
  </w:footnote>
  <w:footnote w:type="continuationSeparator" w:id="0">
    <w:p w14:paraId="1DA8C7F1" w14:textId="77777777" w:rsidR="00D36D9D" w:rsidRDefault="00D36D9D" w:rsidP="004A103B">
      <w:r>
        <w:continuationSeparator/>
      </w:r>
    </w:p>
  </w:footnote>
  <w:footnote w:type="continuationNotice" w:id="1">
    <w:p w14:paraId="1B4A072C" w14:textId="77777777" w:rsidR="00D36D9D" w:rsidRDefault="00D36D9D" w:rsidP="00FD1694"/>
  </w:footnote>
  <w:footnote w:id="2">
    <w:p w14:paraId="6D01C968" w14:textId="5FDB3594" w:rsidR="00B052CE" w:rsidRPr="00D71311" w:rsidRDefault="00B052CE">
      <w:pPr>
        <w:pStyle w:val="FootnoteText"/>
        <w:rPr>
          <w:rFonts w:ascii="Times New Roman" w:hAnsi="Times New Roman" w:cs="Times New Roman"/>
        </w:rPr>
      </w:pPr>
      <w:r>
        <w:rPr>
          <w:rStyle w:val="FootnoteReference"/>
        </w:rPr>
        <w:footnoteRef/>
      </w:r>
      <w:r>
        <w:t xml:space="preserve"> </w:t>
      </w:r>
      <w:r w:rsidR="00A26D4B">
        <w:rPr>
          <w:rFonts w:ascii="Times New Roman" w:hAnsi="Times New Roman" w:cs="Times New Roman"/>
        </w:rPr>
        <w:t>PINS</w:t>
      </w:r>
      <w:r>
        <w:rPr>
          <w:rFonts w:ascii="Times New Roman" w:hAnsi="Times New Roman" w:cs="Times New Roman"/>
        </w:rPr>
        <w:t xml:space="preserve"> was funded by the National Science Foundation (</w:t>
      </w:r>
      <w:r w:rsidR="00A26D4B">
        <w:rPr>
          <w:rFonts w:ascii="Times New Roman" w:hAnsi="Times New Roman" w:cs="Times New Roman"/>
        </w:rPr>
        <w:t>1457193) and measured the network structure and health of approximately 200 men incarcerated in a “good behavior” unit of a Pennsylvania medium-security men’s prison</w:t>
      </w:r>
      <w:r w:rsidR="00F54222">
        <w:rPr>
          <w:rFonts w:ascii="Times New Roman" w:hAnsi="Times New Roman" w:cs="Times New Roman"/>
        </w:rPr>
        <w:t xml:space="preserve"> </w:t>
      </w:r>
      <w:r w:rsidR="00D66D48">
        <w:rPr>
          <w:rFonts w:ascii="Times New Roman" w:hAnsi="Times New Roman" w:cs="Times New Roman"/>
        </w:rPr>
        <w:t>(Kreager et al., 2016; 2017; W</w:t>
      </w:r>
      <w:r w:rsidR="00EE49E0">
        <w:rPr>
          <w:rFonts w:ascii="Times New Roman" w:hAnsi="Times New Roman" w:cs="Times New Roman"/>
        </w:rPr>
        <w:t>hichard, Wakefield, and Kreager, 2020)</w:t>
      </w:r>
      <w:r w:rsidR="00A26D4B">
        <w:rPr>
          <w:rFonts w:ascii="Times New Roman" w:hAnsi="Times New Roman" w:cs="Times New Roman"/>
        </w:rPr>
        <w:t>.</w:t>
      </w:r>
    </w:p>
  </w:footnote>
  <w:footnote w:id="3">
    <w:p w14:paraId="14E953C9" w14:textId="60769144" w:rsidR="00162021" w:rsidRPr="00162021" w:rsidRDefault="0016202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Another </w:t>
      </w:r>
      <w:r w:rsidR="00342080">
        <w:rPr>
          <w:rFonts w:ascii="Times New Roman" w:hAnsi="Times New Roman" w:cs="Times New Roman"/>
        </w:rPr>
        <w:t xml:space="preserve">research question relates to </w:t>
      </w:r>
      <w:r w:rsidR="00CC0B5F">
        <w:rPr>
          <w:rFonts w:ascii="Times New Roman" w:hAnsi="Times New Roman" w:cs="Times New Roman"/>
        </w:rPr>
        <w:t xml:space="preserve">trust </w:t>
      </w:r>
      <w:r w:rsidR="00E33AD5">
        <w:rPr>
          <w:rFonts w:ascii="Times New Roman" w:hAnsi="Times New Roman" w:cs="Times New Roman"/>
        </w:rPr>
        <w:t xml:space="preserve">(or other) </w:t>
      </w:r>
      <w:r w:rsidR="00CC0B5F">
        <w:rPr>
          <w:rFonts w:ascii="Times New Roman" w:hAnsi="Times New Roman" w:cs="Times New Roman"/>
        </w:rPr>
        <w:t xml:space="preserve">relationships between </w:t>
      </w:r>
      <w:r w:rsidR="003B0029">
        <w:rPr>
          <w:rFonts w:ascii="Times New Roman" w:hAnsi="Times New Roman" w:cs="Times New Roman"/>
        </w:rPr>
        <w:t>prisoners and correctional staff.</w:t>
      </w:r>
      <w:r w:rsidR="00E33AD5">
        <w:rPr>
          <w:rFonts w:ascii="Times New Roman" w:hAnsi="Times New Roman" w:cs="Times New Roman"/>
        </w:rPr>
        <w:t xml:space="preserve"> </w:t>
      </w:r>
      <w:r w:rsidR="0094172F">
        <w:rPr>
          <w:rFonts w:ascii="Times New Roman" w:hAnsi="Times New Roman" w:cs="Times New Roman"/>
        </w:rPr>
        <w:t xml:space="preserve">It is challenging to simultaneously collect network information from </w:t>
      </w:r>
      <w:r w:rsidR="00F47124">
        <w:rPr>
          <w:rFonts w:ascii="Times New Roman" w:hAnsi="Times New Roman" w:cs="Times New Roman"/>
        </w:rPr>
        <w:t xml:space="preserve">prisoners and staff </w:t>
      </w:r>
      <w:r w:rsidR="0032396E">
        <w:rPr>
          <w:rFonts w:ascii="Times New Roman" w:hAnsi="Times New Roman" w:cs="Times New Roman"/>
        </w:rPr>
        <w:t xml:space="preserve">given the polarized nature of the prison environment, but future research should investigate the </w:t>
      </w:r>
      <w:r w:rsidR="00F20F30">
        <w:rPr>
          <w:rFonts w:ascii="Times New Roman" w:hAnsi="Times New Roman" w:cs="Times New Roman"/>
        </w:rPr>
        <w:t>feasibility of such a study.</w:t>
      </w:r>
      <w:r w:rsidR="003B0029">
        <w:rPr>
          <w:rFonts w:ascii="Times New Roman" w:hAnsi="Times New Roman" w:cs="Times New Roman"/>
        </w:rPr>
        <w:t xml:space="preserve"> </w:t>
      </w:r>
    </w:p>
  </w:footnote>
  <w:footnote w:id="4">
    <w:p w14:paraId="50C60D84" w14:textId="5DF8AAB8" w:rsidR="00C42ECB" w:rsidRPr="00303F56" w:rsidRDefault="00C42ECB">
      <w:pPr>
        <w:pStyle w:val="FootnoteText"/>
        <w:rPr>
          <w:rFonts w:ascii="Times New Roman" w:hAnsi="Times New Roman" w:cs="Times New Roman"/>
        </w:rPr>
      </w:pPr>
      <w:r w:rsidRPr="00303F56">
        <w:rPr>
          <w:rStyle w:val="FootnoteReference"/>
          <w:rFonts w:ascii="Times New Roman" w:hAnsi="Times New Roman" w:cs="Times New Roman"/>
        </w:rPr>
        <w:footnoteRef/>
      </w:r>
      <w:r w:rsidRPr="00303F56">
        <w:rPr>
          <w:rFonts w:ascii="Times New Roman" w:hAnsi="Times New Roman" w:cs="Times New Roman"/>
        </w:rPr>
        <w:t xml:space="preserve"> While virtual </w:t>
      </w:r>
      <w:r w:rsidR="001B5B27" w:rsidRPr="00303F56">
        <w:rPr>
          <w:rFonts w:ascii="Times New Roman" w:hAnsi="Times New Roman" w:cs="Times New Roman"/>
        </w:rPr>
        <w:t xml:space="preserve">(i.e., video) </w:t>
      </w:r>
      <w:r w:rsidRPr="00303F56">
        <w:rPr>
          <w:rFonts w:ascii="Times New Roman" w:hAnsi="Times New Roman" w:cs="Times New Roman"/>
        </w:rPr>
        <w:t>visitation has played a significant role during the COVID-19 pandemic, at the time of survey collection for sites 2 (units 2 and 3)</w:t>
      </w:r>
      <w:r w:rsidR="001B5B27" w:rsidRPr="00303F56">
        <w:rPr>
          <w:rFonts w:ascii="Times New Roman" w:hAnsi="Times New Roman" w:cs="Times New Roman"/>
        </w:rPr>
        <w:t>,</w:t>
      </w:r>
      <w:r w:rsidRPr="00303F56">
        <w:rPr>
          <w:rFonts w:ascii="Times New Roman" w:hAnsi="Times New Roman" w:cs="Times New Roman"/>
        </w:rPr>
        <w:t xml:space="preserve"> virtual visitation was </w:t>
      </w:r>
      <w:r w:rsidR="001B5B27" w:rsidRPr="00303F56">
        <w:rPr>
          <w:rFonts w:ascii="Times New Roman" w:hAnsi="Times New Roman" w:cs="Times New Roman"/>
        </w:rPr>
        <w:t xml:space="preserve">infrequent and limited to </w:t>
      </w:r>
      <w:r w:rsidR="001165E8" w:rsidRPr="00303F56">
        <w:rPr>
          <w:rFonts w:ascii="Times New Roman" w:hAnsi="Times New Roman" w:cs="Times New Roman"/>
        </w:rPr>
        <w:t>mothers of young children</w:t>
      </w:r>
      <w:r w:rsidRPr="00303F56">
        <w:rPr>
          <w:rFonts w:ascii="Times New Roman" w:hAnsi="Times New Roman" w:cs="Times New Roman"/>
        </w:rPr>
        <w:t>. As such, no data was collected regarding virtual visitation, and its occurrence cannot be accounted for in our models.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3272"/>
    <w:multiLevelType w:val="hybridMultilevel"/>
    <w:tmpl w:val="E54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E58ED"/>
    <w:multiLevelType w:val="hybridMultilevel"/>
    <w:tmpl w:val="6EF87B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79999364">
    <w:abstractNumId w:val="0"/>
  </w:num>
  <w:num w:numId="2" w16cid:durableId="376704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74"/>
    <w:rsid w:val="00000921"/>
    <w:rsid w:val="0000769C"/>
    <w:rsid w:val="00011935"/>
    <w:rsid w:val="000151C2"/>
    <w:rsid w:val="00020105"/>
    <w:rsid w:val="00024839"/>
    <w:rsid w:val="00026A24"/>
    <w:rsid w:val="00026EC7"/>
    <w:rsid w:val="00033970"/>
    <w:rsid w:val="000342CB"/>
    <w:rsid w:val="00034B81"/>
    <w:rsid w:val="0003543A"/>
    <w:rsid w:val="00036DF3"/>
    <w:rsid w:val="00040E9D"/>
    <w:rsid w:val="00041932"/>
    <w:rsid w:val="00042560"/>
    <w:rsid w:val="00044A40"/>
    <w:rsid w:val="00044A9C"/>
    <w:rsid w:val="00050351"/>
    <w:rsid w:val="000511AD"/>
    <w:rsid w:val="00051A90"/>
    <w:rsid w:val="00055071"/>
    <w:rsid w:val="00056045"/>
    <w:rsid w:val="0005679B"/>
    <w:rsid w:val="00056D08"/>
    <w:rsid w:val="000627BC"/>
    <w:rsid w:val="000632FE"/>
    <w:rsid w:val="00064463"/>
    <w:rsid w:val="0006601D"/>
    <w:rsid w:val="00067E3A"/>
    <w:rsid w:val="000716C5"/>
    <w:rsid w:val="00071DE9"/>
    <w:rsid w:val="000747E8"/>
    <w:rsid w:val="00074F9F"/>
    <w:rsid w:val="000753EE"/>
    <w:rsid w:val="00076114"/>
    <w:rsid w:val="00077E43"/>
    <w:rsid w:val="00080170"/>
    <w:rsid w:val="0008068A"/>
    <w:rsid w:val="00081D7E"/>
    <w:rsid w:val="00082953"/>
    <w:rsid w:val="0009451C"/>
    <w:rsid w:val="00094D4F"/>
    <w:rsid w:val="00094FD8"/>
    <w:rsid w:val="00095B0E"/>
    <w:rsid w:val="00097C23"/>
    <w:rsid w:val="000A0F0F"/>
    <w:rsid w:val="000A3195"/>
    <w:rsid w:val="000A3C1C"/>
    <w:rsid w:val="000A51F5"/>
    <w:rsid w:val="000A5E8D"/>
    <w:rsid w:val="000A7C06"/>
    <w:rsid w:val="000A7F10"/>
    <w:rsid w:val="000B22DE"/>
    <w:rsid w:val="000B26B1"/>
    <w:rsid w:val="000B30F3"/>
    <w:rsid w:val="000B4CF4"/>
    <w:rsid w:val="000B756B"/>
    <w:rsid w:val="000C3FF8"/>
    <w:rsid w:val="000C58B8"/>
    <w:rsid w:val="000D1D0B"/>
    <w:rsid w:val="000D1D40"/>
    <w:rsid w:val="000D2D87"/>
    <w:rsid w:val="000D5387"/>
    <w:rsid w:val="000D716F"/>
    <w:rsid w:val="000D7301"/>
    <w:rsid w:val="000E00C1"/>
    <w:rsid w:val="000E2EAC"/>
    <w:rsid w:val="000E52ED"/>
    <w:rsid w:val="000F0514"/>
    <w:rsid w:val="000F4195"/>
    <w:rsid w:val="000F5968"/>
    <w:rsid w:val="000F5C71"/>
    <w:rsid w:val="000F6990"/>
    <w:rsid w:val="000F6E1B"/>
    <w:rsid w:val="00102C04"/>
    <w:rsid w:val="00103BD1"/>
    <w:rsid w:val="001051E1"/>
    <w:rsid w:val="001065C8"/>
    <w:rsid w:val="00107C67"/>
    <w:rsid w:val="00110BBF"/>
    <w:rsid w:val="00110DFC"/>
    <w:rsid w:val="001125C8"/>
    <w:rsid w:val="00112623"/>
    <w:rsid w:val="001128B1"/>
    <w:rsid w:val="001165E8"/>
    <w:rsid w:val="0011796D"/>
    <w:rsid w:val="00122E97"/>
    <w:rsid w:val="001234CC"/>
    <w:rsid w:val="001237F7"/>
    <w:rsid w:val="00127BE3"/>
    <w:rsid w:val="00130296"/>
    <w:rsid w:val="0013506A"/>
    <w:rsid w:val="00135606"/>
    <w:rsid w:val="00137558"/>
    <w:rsid w:val="00140363"/>
    <w:rsid w:val="00142543"/>
    <w:rsid w:val="001426C0"/>
    <w:rsid w:val="00145859"/>
    <w:rsid w:val="001467A0"/>
    <w:rsid w:val="00150778"/>
    <w:rsid w:val="00154123"/>
    <w:rsid w:val="00154589"/>
    <w:rsid w:val="00162021"/>
    <w:rsid w:val="001650FA"/>
    <w:rsid w:val="00174484"/>
    <w:rsid w:val="0017478E"/>
    <w:rsid w:val="00175BB0"/>
    <w:rsid w:val="00176559"/>
    <w:rsid w:val="00176BFD"/>
    <w:rsid w:val="00176E1B"/>
    <w:rsid w:val="001777C4"/>
    <w:rsid w:val="00181D29"/>
    <w:rsid w:val="0018335A"/>
    <w:rsid w:val="00184BCD"/>
    <w:rsid w:val="00185941"/>
    <w:rsid w:val="001862A9"/>
    <w:rsid w:val="001918F2"/>
    <w:rsid w:val="001935B2"/>
    <w:rsid w:val="0019362A"/>
    <w:rsid w:val="00193B4E"/>
    <w:rsid w:val="00194BDE"/>
    <w:rsid w:val="00194CF0"/>
    <w:rsid w:val="001951FC"/>
    <w:rsid w:val="001A03B3"/>
    <w:rsid w:val="001A1873"/>
    <w:rsid w:val="001A2633"/>
    <w:rsid w:val="001A4237"/>
    <w:rsid w:val="001A479D"/>
    <w:rsid w:val="001A4881"/>
    <w:rsid w:val="001A5045"/>
    <w:rsid w:val="001A5EFD"/>
    <w:rsid w:val="001B2427"/>
    <w:rsid w:val="001B3959"/>
    <w:rsid w:val="001B3CC6"/>
    <w:rsid w:val="001B5B27"/>
    <w:rsid w:val="001B69D3"/>
    <w:rsid w:val="001C4E3E"/>
    <w:rsid w:val="001C6391"/>
    <w:rsid w:val="001C7C8F"/>
    <w:rsid w:val="001D06A5"/>
    <w:rsid w:val="001D18FA"/>
    <w:rsid w:val="001D19BC"/>
    <w:rsid w:val="001D24C4"/>
    <w:rsid w:val="001D37E7"/>
    <w:rsid w:val="001D3A18"/>
    <w:rsid w:val="001D4097"/>
    <w:rsid w:val="001D5FD4"/>
    <w:rsid w:val="001E26FE"/>
    <w:rsid w:val="001E46BD"/>
    <w:rsid w:val="001E49A6"/>
    <w:rsid w:val="001E69A3"/>
    <w:rsid w:val="001E76B5"/>
    <w:rsid w:val="001F01EA"/>
    <w:rsid w:val="001F1673"/>
    <w:rsid w:val="001F188C"/>
    <w:rsid w:val="001F2F2A"/>
    <w:rsid w:val="001F6669"/>
    <w:rsid w:val="001F6EFC"/>
    <w:rsid w:val="001F6F68"/>
    <w:rsid w:val="001F7CBA"/>
    <w:rsid w:val="00202232"/>
    <w:rsid w:val="00204F89"/>
    <w:rsid w:val="0020590C"/>
    <w:rsid w:val="0021353F"/>
    <w:rsid w:val="002148A2"/>
    <w:rsid w:val="00214F87"/>
    <w:rsid w:val="00215125"/>
    <w:rsid w:val="00217BC6"/>
    <w:rsid w:val="002217A0"/>
    <w:rsid w:val="00225DE3"/>
    <w:rsid w:val="002267A6"/>
    <w:rsid w:val="00227026"/>
    <w:rsid w:val="00230A7D"/>
    <w:rsid w:val="00230B38"/>
    <w:rsid w:val="00231837"/>
    <w:rsid w:val="0023216B"/>
    <w:rsid w:val="00232FA4"/>
    <w:rsid w:val="00233270"/>
    <w:rsid w:val="00234841"/>
    <w:rsid w:val="002353B5"/>
    <w:rsid w:val="00237A0F"/>
    <w:rsid w:val="0024030A"/>
    <w:rsid w:val="002419D4"/>
    <w:rsid w:val="00246670"/>
    <w:rsid w:val="00246AFB"/>
    <w:rsid w:val="00247B42"/>
    <w:rsid w:val="002505D3"/>
    <w:rsid w:val="0025060C"/>
    <w:rsid w:val="00250868"/>
    <w:rsid w:val="0025212E"/>
    <w:rsid w:val="002528B4"/>
    <w:rsid w:val="00253617"/>
    <w:rsid w:val="00253988"/>
    <w:rsid w:val="00253E52"/>
    <w:rsid w:val="00257F12"/>
    <w:rsid w:val="002612CF"/>
    <w:rsid w:val="002657F8"/>
    <w:rsid w:val="00265A56"/>
    <w:rsid w:val="00267483"/>
    <w:rsid w:val="00267D71"/>
    <w:rsid w:val="00271332"/>
    <w:rsid w:val="00273BBD"/>
    <w:rsid w:val="00275890"/>
    <w:rsid w:val="002808C1"/>
    <w:rsid w:val="00281766"/>
    <w:rsid w:val="00282E13"/>
    <w:rsid w:val="0028394F"/>
    <w:rsid w:val="00286398"/>
    <w:rsid w:val="002927AB"/>
    <w:rsid w:val="00293A53"/>
    <w:rsid w:val="00294309"/>
    <w:rsid w:val="00296470"/>
    <w:rsid w:val="00297356"/>
    <w:rsid w:val="00297A83"/>
    <w:rsid w:val="00297F8B"/>
    <w:rsid w:val="002A05C1"/>
    <w:rsid w:val="002A0B90"/>
    <w:rsid w:val="002A1337"/>
    <w:rsid w:val="002B21CF"/>
    <w:rsid w:val="002B3ED9"/>
    <w:rsid w:val="002B42F7"/>
    <w:rsid w:val="002B6B61"/>
    <w:rsid w:val="002C3361"/>
    <w:rsid w:val="002D3D0C"/>
    <w:rsid w:val="002D4970"/>
    <w:rsid w:val="002D5BA4"/>
    <w:rsid w:val="002D657E"/>
    <w:rsid w:val="002E04E9"/>
    <w:rsid w:val="002E25D9"/>
    <w:rsid w:val="002E4A04"/>
    <w:rsid w:val="002E4C7F"/>
    <w:rsid w:val="002F1FB1"/>
    <w:rsid w:val="002F49AE"/>
    <w:rsid w:val="002F696F"/>
    <w:rsid w:val="003020C6"/>
    <w:rsid w:val="0030252B"/>
    <w:rsid w:val="003026BD"/>
    <w:rsid w:val="00303F56"/>
    <w:rsid w:val="00304C05"/>
    <w:rsid w:val="00305660"/>
    <w:rsid w:val="00306DF2"/>
    <w:rsid w:val="00310BD9"/>
    <w:rsid w:val="00311488"/>
    <w:rsid w:val="00311932"/>
    <w:rsid w:val="00314C08"/>
    <w:rsid w:val="00320CAF"/>
    <w:rsid w:val="00321775"/>
    <w:rsid w:val="003218D1"/>
    <w:rsid w:val="00322A5F"/>
    <w:rsid w:val="0032396E"/>
    <w:rsid w:val="0032458C"/>
    <w:rsid w:val="0032515D"/>
    <w:rsid w:val="003274C8"/>
    <w:rsid w:val="0033180C"/>
    <w:rsid w:val="00331A52"/>
    <w:rsid w:val="00334749"/>
    <w:rsid w:val="0033574E"/>
    <w:rsid w:val="00337201"/>
    <w:rsid w:val="003403E9"/>
    <w:rsid w:val="00342080"/>
    <w:rsid w:val="00342FF9"/>
    <w:rsid w:val="00344A5B"/>
    <w:rsid w:val="0034679D"/>
    <w:rsid w:val="00351201"/>
    <w:rsid w:val="003576BC"/>
    <w:rsid w:val="00362E62"/>
    <w:rsid w:val="00362FC7"/>
    <w:rsid w:val="00363A13"/>
    <w:rsid w:val="00366C74"/>
    <w:rsid w:val="00367CDF"/>
    <w:rsid w:val="00372A12"/>
    <w:rsid w:val="00374B28"/>
    <w:rsid w:val="003753D6"/>
    <w:rsid w:val="003755D6"/>
    <w:rsid w:val="00380348"/>
    <w:rsid w:val="00381D18"/>
    <w:rsid w:val="003827E8"/>
    <w:rsid w:val="0038782D"/>
    <w:rsid w:val="003902FA"/>
    <w:rsid w:val="00390D05"/>
    <w:rsid w:val="003915C6"/>
    <w:rsid w:val="00391E59"/>
    <w:rsid w:val="00394E54"/>
    <w:rsid w:val="00395D53"/>
    <w:rsid w:val="00396BA8"/>
    <w:rsid w:val="0039765A"/>
    <w:rsid w:val="003A2315"/>
    <w:rsid w:val="003A243E"/>
    <w:rsid w:val="003A35C1"/>
    <w:rsid w:val="003A6146"/>
    <w:rsid w:val="003A7B0C"/>
    <w:rsid w:val="003B0029"/>
    <w:rsid w:val="003B0582"/>
    <w:rsid w:val="003B67E5"/>
    <w:rsid w:val="003B6C2B"/>
    <w:rsid w:val="003B7B55"/>
    <w:rsid w:val="003C10BE"/>
    <w:rsid w:val="003C42FF"/>
    <w:rsid w:val="003C64A4"/>
    <w:rsid w:val="003C690B"/>
    <w:rsid w:val="003C7491"/>
    <w:rsid w:val="003D0DFA"/>
    <w:rsid w:val="003D2E2D"/>
    <w:rsid w:val="003D4387"/>
    <w:rsid w:val="003E155D"/>
    <w:rsid w:val="003E1EBC"/>
    <w:rsid w:val="003E4067"/>
    <w:rsid w:val="003E4CB2"/>
    <w:rsid w:val="003E600C"/>
    <w:rsid w:val="003F0B5A"/>
    <w:rsid w:val="003F20AD"/>
    <w:rsid w:val="003F3BDA"/>
    <w:rsid w:val="003F701C"/>
    <w:rsid w:val="00400164"/>
    <w:rsid w:val="0040268B"/>
    <w:rsid w:val="004026DA"/>
    <w:rsid w:val="00402AF6"/>
    <w:rsid w:val="00405C26"/>
    <w:rsid w:val="0040642A"/>
    <w:rsid w:val="00406CDD"/>
    <w:rsid w:val="00410927"/>
    <w:rsid w:val="00410EC6"/>
    <w:rsid w:val="00410FB2"/>
    <w:rsid w:val="0041129A"/>
    <w:rsid w:val="004113EF"/>
    <w:rsid w:val="00413FF0"/>
    <w:rsid w:val="004157E3"/>
    <w:rsid w:val="00423A5E"/>
    <w:rsid w:val="004246BA"/>
    <w:rsid w:val="00427DEB"/>
    <w:rsid w:val="004309A2"/>
    <w:rsid w:val="00430C0A"/>
    <w:rsid w:val="00430EB2"/>
    <w:rsid w:val="00432798"/>
    <w:rsid w:val="00435F33"/>
    <w:rsid w:val="00437113"/>
    <w:rsid w:val="0043716C"/>
    <w:rsid w:val="0043732F"/>
    <w:rsid w:val="004401BE"/>
    <w:rsid w:val="00441148"/>
    <w:rsid w:val="004433E5"/>
    <w:rsid w:val="00443F83"/>
    <w:rsid w:val="00444B18"/>
    <w:rsid w:val="004458A5"/>
    <w:rsid w:val="004458FA"/>
    <w:rsid w:val="004473A2"/>
    <w:rsid w:val="0045043A"/>
    <w:rsid w:val="00450752"/>
    <w:rsid w:val="004544B2"/>
    <w:rsid w:val="004560D9"/>
    <w:rsid w:val="00460D2F"/>
    <w:rsid w:val="00463D43"/>
    <w:rsid w:val="00464B98"/>
    <w:rsid w:val="004712A8"/>
    <w:rsid w:val="0047397F"/>
    <w:rsid w:val="00483974"/>
    <w:rsid w:val="00483C5A"/>
    <w:rsid w:val="004855A3"/>
    <w:rsid w:val="004861FC"/>
    <w:rsid w:val="00486431"/>
    <w:rsid w:val="004914D6"/>
    <w:rsid w:val="00493734"/>
    <w:rsid w:val="004964E9"/>
    <w:rsid w:val="004A103B"/>
    <w:rsid w:val="004A2D04"/>
    <w:rsid w:val="004A4CCF"/>
    <w:rsid w:val="004A5993"/>
    <w:rsid w:val="004B083D"/>
    <w:rsid w:val="004B1025"/>
    <w:rsid w:val="004B4568"/>
    <w:rsid w:val="004C100E"/>
    <w:rsid w:val="004C133C"/>
    <w:rsid w:val="004C1973"/>
    <w:rsid w:val="004C28E7"/>
    <w:rsid w:val="004C6A83"/>
    <w:rsid w:val="004D18A1"/>
    <w:rsid w:val="004D7294"/>
    <w:rsid w:val="004E0DA3"/>
    <w:rsid w:val="004E16EB"/>
    <w:rsid w:val="004E6C20"/>
    <w:rsid w:val="004F3F7B"/>
    <w:rsid w:val="004F4C96"/>
    <w:rsid w:val="004F612A"/>
    <w:rsid w:val="004F71F9"/>
    <w:rsid w:val="00501587"/>
    <w:rsid w:val="00501BB9"/>
    <w:rsid w:val="00503C83"/>
    <w:rsid w:val="00503F30"/>
    <w:rsid w:val="00503FCB"/>
    <w:rsid w:val="00505248"/>
    <w:rsid w:val="00505591"/>
    <w:rsid w:val="00507A5B"/>
    <w:rsid w:val="00507E3F"/>
    <w:rsid w:val="00511802"/>
    <w:rsid w:val="005124D3"/>
    <w:rsid w:val="005139DE"/>
    <w:rsid w:val="00516A75"/>
    <w:rsid w:val="00517359"/>
    <w:rsid w:val="005200C7"/>
    <w:rsid w:val="00520A88"/>
    <w:rsid w:val="0052209F"/>
    <w:rsid w:val="00525FA9"/>
    <w:rsid w:val="005306F5"/>
    <w:rsid w:val="00533737"/>
    <w:rsid w:val="00535B46"/>
    <w:rsid w:val="00536243"/>
    <w:rsid w:val="005374F7"/>
    <w:rsid w:val="00540012"/>
    <w:rsid w:val="00540DE3"/>
    <w:rsid w:val="00542A7F"/>
    <w:rsid w:val="005431AF"/>
    <w:rsid w:val="005450A0"/>
    <w:rsid w:val="005450F2"/>
    <w:rsid w:val="00551295"/>
    <w:rsid w:val="00552232"/>
    <w:rsid w:val="00552B71"/>
    <w:rsid w:val="00553C6B"/>
    <w:rsid w:val="00554CF6"/>
    <w:rsid w:val="0055552C"/>
    <w:rsid w:val="005579EB"/>
    <w:rsid w:val="0056126C"/>
    <w:rsid w:val="00561E96"/>
    <w:rsid w:val="00561F3B"/>
    <w:rsid w:val="00562525"/>
    <w:rsid w:val="00564FAE"/>
    <w:rsid w:val="00565662"/>
    <w:rsid w:val="00567F71"/>
    <w:rsid w:val="00573651"/>
    <w:rsid w:val="00574BEF"/>
    <w:rsid w:val="0057613C"/>
    <w:rsid w:val="00577B76"/>
    <w:rsid w:val="00581500"/>
    <w:rsid w:val="005875B3"/>
    <w:rsid w:val="00587B26"/>
    <w:rsid w:val="00587C0B"/>
    <w:rsid w:val="00593A93"/>
    <w:rsid w:val="00595A45"/>
    <w:rsid w:val="005A0A52"/>
    <w:rsid w:val="005A36D9"/>
    <w:rsid w:val="005A7AE2"/>
    <w:rsid w:val="005B0AF3"/>
    <w:rsid w:val="005B13D8"/>
    <w:rsid w:val="005B2837"/>
    <w:rsid w:val="005B3E86"/>
    <w:rsid w:val="005B64FC"/>
    <w:rsid w:val="005B6F5E"/>
    <w:rsid w:val="005C0BAD"/>
    <w:rsid w:val="005C1125"/>
    <w:rsid w:val="005C1661"/>
    <w:rsid w:val="005C30DC"/>
    <w:rsid w:val="005C3302"/>
    <w:rsid w:val="005C3592"/>
    <w:rsid w:val="005C403F"/>
    <w:rsid w:val="005C799A"/>
    <w:rsid w:val="005D418B"/>
    <w:rsid w:val="005D4624"/>
    <w:rsid w:val="005E5B48"/>
    <w:rsid w:val="005E70FF"/>
    <w:rsid w:val="005F4478"/>
    <w:rsid w:val="006004BA"/>
    <w:rsid w:val="00600924"/>
    <w:rsid w:val="00601AA1"/>
    <w:rsid w:val="0060361A"/>
    <w:rsid w:val="00604A5D"/>
    <w:rsid w:val="006062C7"/>
    <w:rsid w:val="0061042D"/>
    <w:rsid w:val="006119BC"/>
    <w:rsid w:val="00615851"/>
    <w:rsid w:val="0062110A"/>
    <w:rsid w:val="0062307D"/>
    <w:rsid w:val="006230FD"/>
    <w:rsid w:val="0062559C"/>
    <w:rsid w:val="0063044E"/>
    <w:rsid w:val="006330B9"/>
    <w:rsid w:val="00633370"/>
    <w:rsid w:val="00635B8F"/>
    <w:rsid w:val="00640D44"/>
    <w:rsid w:val="00644004"/>
    <w:rsid w:val="006446E3"/>
    <w:rsid w:val="00655A56"/>
    <w:rsid w:val="006566FD"/>
    <w:rsid w:val="00656E2B"/>
    <w:rsid w:val="0066081A"/>
    <w:rsid w:val="00660C44"/>
    <w:rsid w:val="00662306"/>
    <w:rsid w:val="006630D1"/>
    <w:rsid w:val="00664DC5"/>
    <w:rsid w:val="0066651B"/>
    <w:rsid w:val="006675DA"/>
    <w:rsid w:val="0067084F"/>
    <w:rsid w:val="006714AD"/>
    <w:rsid w:val="00671EF1"/>
    <w:rsid w:val="00673AF1"/>
    <w:rsid w:val="006746DD"/>
    <w:rsid w:val="00681B72"/>
    <w:rsid w:val="00686FA7"/>
    <w:rsid w:val="00692CA6"/>
    <w:rsid w:val="006930F3"/>
    <w:rsid w:val="0069567D"/>
    <w:rsid w:val="00696666"/>
    <w:rsid w:val="006A04DD"/>
    <w:rsid w:val="006A0CB7"/>
    <w:rsid w:val="006A11D5"/>
    <w:rsid w:val="006A3583"/>
    <w:rsid w:val="006A3600"/>
    <w:rsid w:val="006A6DA6"/>
    <w:rsid w:val="006B0C7A"/>
    <w:rsid w:val="006B1A64"/>
    <w:rsid w:val="006B3E58"/>
    <w:rsid w:val="006B3FAA"/>
    <w:rsid w:val="006B4E5F"/>
    <w:rsid w:val="006C084F"/>
    <w:rsid w:val="006C0E1C"/>
    <w:rsid w:val="006C255B"/>
    <w:rsid w:val="006C28F7"/>
    <w:rsid w:val="006C4709"/>
    <w:rsid w:val="006C5721"/>
    <w:rsid w:val="006C76E9"/>
    <w:rsid w:val="006D0191"/>
    <w:rsid w:val="006D02EC"/>
    <w:rsid w:val="006D1107"/>
    <w:rsid w:val="006D2499"/>
    <w:rsid w:val="006E1C7D"/>
    <w:rsid w:val="006E1E71"/>
    <w:rsid w:val="006E2A47"/>
    <w:rsid w:val="006E3E95"/>
    <w:rsid w:val="006F54CD"/>
    <w:rsid w:val="006F5A38"/>
    <w:rsid w:val="006F5E56"/>
    <w:rsid w:val="006F5FB1"/>
    <w:rsid w:val="00701BC4"/>
    <w:rsid w:val="00703429"/>
    <w:rsid w:val="00704CFC"/>
    <w:rsid w:val="00711703"/>
    <w:rsid w:val="00713F40"/>
    <w:rsid w:val="0071462D"/>
    <w:rsid w:val="00717DD9"/>
    <w:rsid w:val="007212D9"/>
    <w:rsid w:val="0072161D"/>
    <w:rsid w:val="00721FF6"/>
    <w:rsid w:val="00724D03"/>
    <w:rsid w:val="00733CF3"/>
    <w:rsid w:val="0073455D"/>
    <w:rsid w:val="00734B4C"/>
    <w:rsid w:val="00740044"/>
    <w:rsid w:val="00741D5F"/>
    <w:rsid w:val="007438F5"/>
    <w:rsid w:val="00743F49"/>
    <w:rsid w:val="007463EB"/>
    <w:rsid w:val="007474D7"/>
    <w:rsid w:val="007478DD"/>
    <w:rsid w:val="00747A9D"/>
    <w:rsid w:val="00750DE8"/>
    <w:rsid w:val="00752336"/>
    <w:rsid w:val="00755644"/>
    <w:rsid w:val="007578A5"/>
    <w:rsid w:val="00757939"/>
    <w:rsid w:val="0076494A"/>
    <w:rsid w:val="0076627F"/>
    <w:rsid w:val="007663E3"/>
    <w:rsid w:val="00766E13"/>
    <w:rsid w:val="0077107E"/>
    <w:rsid w:val="00772C14"/>
    <w:rsid w:val="00773E08"/>
    <w:rsid w:val="007751E8"/>
    <w:rsid w:val="00781E42"/>
    <w:rsid w:val="0078260F"/>
    <w:rsid w:val="00783002"/>
    <w:rsid w:val="00784092"/>
    <w:rsid w:val="00784DDD"/>
    <w:rsid w:val="007870DC"/>
    <w:rsid w:val="00787FC1"/>
    <w:rsid w:val="00791FD8"/>
    <w:rsid w:val="00792A21"/>
    <w:rsid w:val="00793D90"/>
    <w:rsid w:val="007A2E4F"/>
    <w:rsid w:val="007A3BF3"/>
    <w:rsid w:val="007A4FDC"/>
    <w:rsid w:val="007A68C8"/>
    <w:rsid w:val="007A7AF8"/>
    <w:rsid w:val="007B3DF5"/>
    <w:rsid w:val="007B50D9"/>
    <w:rsid w:val="007B6EAF"/>
    <w:rsid w:val="007C0212"/>
    <w:rsid w:val="007C093A"/>
    <w:rsid w:val="007C333E"/>
    <w:rsid w:val="007C428A"/>
    <w:rsid w:val="007C4CEF"/>
    <w:rsid w:val="007C5D80"/>
    <w:rsid w:val="007C659F"/>
    <w:rsid w:val="007D348E"/>
    <w:rsid w:val="007D3754"/>
    <w:rsid w:val="007D3EEA"/>
    <w:rsid w:val="007D40DE"/>
    <w:rsid w:val="007D6DDC"/>
    <w:rsid w:val="007D734E"/>
    <w:rsid w:val="007E0794"/>
    <w:rsid w:val="007E0B57"/>
    <w:rsid w:val="007E3851"/>
    <w:rsid w:val="007E45BE"/>
    <w:rsid w:val="007F293A"/>
    <w:rsid w:val="007F37D2"/>
    <w:rsid w:val="007F56FA"/>
    <w:rsid w:val="00803CE8"/>
    <w:rsid w:val="008124DE"/>
    <w:rsid w:val="00814F8F"/>
    <w:rsid w:val="0081678D"/>
    <w:rsid w:val="008167B8"/>
    <w:rsid w:val="008220BD"/>
    <w:rsid w:val="00823ED2"/>
    <w:rsid w:val="00826280"/>
    <w:rsid w:val="0083035A"/>
    <w:rsid w:val="0083479A"/>
    <w:rsid w:val="00834E9C"/>
    <w:rsid w:val="00836ADF"/>
    <w:rsid w:val="00836C61"/>
    <w:rsid w:val="008376E8"/>
    <w:rsid w:val="008432BF"/>
    <w:rsid w:val="00843DAD"/>
    <w:rsid w:val="00844684"/>
    <w:rsid w:val="00846057"/>
    <w:rsid w:val="00846496"/>
    <w:rsid w:val="0084706C"/>
    <w:rsid w:val="00857F13"/>
    <w:rsid w:val="00861954"/>
    <w:rsid w:val="00862C86"/>
    <w:rsid w:val="008631CB"/>
    <w:rsid w:val="00870D4D"/>
    <w:rsid w:val="00873FF7"/>
    <w:rsid w:val="00875250"/>
    <w:rsid w:val="00880101"/>
    <w:rsid w:val="00880967"/>
    <w:rsid w:val="00880AD8"/>
    <w:rsid w:val="00884D47"/>
    <w:rsid w:val="0089257C"/>
    <w:rsid w:val="008929CF"/>
    <w:rsid w:val="00893B5A"/>
    <w:rsid w:val="008949EC"/>
    <w:rsid w:val="008A20C8"/>
    <w:rsid w:val="008A3478"/>
    <w:rsid w:val="008A388F"/>
    <w:rsid w:val="008A4A9F"/>
    <w:rsid w:val="008A7FC6"/>
    <w:rsid w:val="008B2E1C"/>
    <w:rsid w:val="008B588C"/>
    <w:rsid w:val="008C3141"/>
    <w:rsid w:val="008C44D4"/>
    <w:rsid w:val="008C6EC9"/>
    <w:rsid w:val="008D170D"/>
    <w:rsid w:val="008D3D19"/>
    <w:rsid w:val="008D60C7"/>
    <w:rsid w:val="008E0B8B"/>
    <w:rsid w:val="008E4B5F"/>
    <w:rsid w:val="008E4DEC"/>
    <w:rsid w:val="008E5D2D"/>
    <w:rsid w:val="008F34C5"/>
    <w:rsid w:val="008F6B41"/>
    <w:rsid w:val="008F756E"/>
    <w:rsid w:val="009014FA"/>
    <w:rsid w:val="00901793"/>
    <w:rsid w:val="00903464"/>
    <w:rsid w:val="00907091"/>
    <w:rsid w:val="009077D1"/>
    <w:rsid w:val="00915F2B"/>
    <w:rsid w:val="009205CF"/>
    <w:rsid w:val="00926F6E"/>
    <w:rsid w:val="009274D4"/>
    <w:rsid w:val="00927720"/>
    <w:rsid w:val="00927CA4"/>
    <w:rsid w:val="009303D5"/>
    <w:rsid w:val="0093299E"/>
    <w:rsid w:val="00932E9C"/>
    <w:rsid w:val="009339C9"/>
    <w:rsid w:val="00933E55"/>
    <w:rsid w:val="009364D2"/>
    <w:rsid w:val="00937E87"/>
    <w:rsid w:val="0094022B"/>
    <w:rsid w:val="0094172F"/>
    <w:rsid w:val="00942CA4"/>
    <w:rsid w:val="00946957"/>
    <w:rsid w:val="009501B6"/>
    <w:rsid w:val="00951853"/>
    <w:rsid w:val="00953FE9"/>
    <w:rsid w:val="009541A0"/>
    <w:rsid w:val="009554A4"/>
    <w:rsid w:val="00956B5B"/>
    <w:rsid w:val="00960391"/>
    <w:rsid w:val="009603E9"/>
    <w:rsid w:val="00960CF3"/>
    <w:rsid w:val="00961C19"/>
    <w:rsid w:val="00962791"/>
    <w:rsid w:val="00963FE6"/>
    <w:rsid w:val="0096435E"/>
    <w:rsid w:val="00964A63"/>
    <w:rsid w:val="00967588"/>
    <w:rsid w:val="0097309D"/>
    <w:rsid w:val="0097335D"/>
    <w:rsid w:val="00975025"/>
    <w:rsid w:val="00975E91"/>
    <w:rsid w:val="00977770"/>
    <w:rsid w:val="009849C3"/>
    <w:rsid w:val="00985097"/>
    <w:rsid w:val="009931BC"/>
    <w:rsid w:val="0099603E"/>
    <w:rsid w:val="00996BCF"/>
    <w:rsid w:val="009974E0"/>
    <w:rsid w:val="00997F83"/>
    <w:rsid w:val="009A0EAD"/>
    <w:rsid w:val="009B03B1"/>
    <w:rsid w:val="009B13CB"/>
    <w:rsid w:val="009B4768"/>
    <w:rsid w:val="009B5FE2"/>
    <w:rsid w:val="009B6868"/>
    <w:rsid w:val="009C0CDB"/>
    <w:rsid w:val="009C121B"/>
    <w:rsid w:val="009C1B65"/>
    <w:rsid w:val="009C2F6D"/>
    <w:rsid w:val="009C34BE"/>
    <w:rsid w:val="009C34E2"/>
    <w:rsid w:val="009C71F4"/>
    <w:rsid w:val="009C783F"/>
    <w:rsid w:val="009D0990"/>
    <w:rsid w:val="009D1F1B"/>
    <w:rsid w:val="009D46F5"/>
    <w:rsid w:val="009D5B57"/>
    <w:rsid w:val="009D708E"/>
    <w:rsid w:val="009E1082"/>
    <w:rsid w:val="009E1813"/>
    <w:rsid w:val="009E28E2"/>
    <w:rsid w:val="009E3AF2"/>
    <w:rsid w:val="009E5666"/>
    <w:rsid w:val="009F1C12"/>
    <w:rsid w:val="009F1F0F"/>
    <w:rsid w:val="009F23F1"/>
    <w:rsid w:val="009F253A"/>
    <w:rsid w:val="009F497E"/>
    <w:rsid w:val="009F4F52"/>
    <w:rsid w:val="009F559F"/>
    <w:rsid w:val="009F5842"/>
    <w:rsid w:val="00A01F60"/>
    <w:rsid w:val="00A02687"/>
    <w:rsid w:val="00A03A26"/>
    <w:rsid w:val="00A03BDD"/>
    <w:rsid w:val="00A0570A"/>
    <w:rsid w:val="00A05A0E"/>
    <w:rsid w:val="00A07F47"/>
    <w:rsid w:val="00A10509"/>
    <w:rsid w:val="00A1133C"/>
    <w:rsid w:val="00A11ED4"/>
    <w:rsid w:val="00A147D6"/>
    <w:rsid w:val="00A15345"/>
    <w:rsid w:val="00A17525"/>
    <w:rsid w:val="00A206C1"/>
    <w:rsid w:val="00A23752"/>
    <w:rsid w:val="00A25F9A"/>
    <w:rsid w:val="00A26D4B"/>
    <w:rsid w:val="00A27AB4"/>
    <w:rsid w:val="00A331C0"/>
    <w:rsid w:val="00A3433F"/>
    <w:rsid w:val="00A34AD9"/>
    <w:rsid w:val="00A351C0"/>
    <w:rsid w:val="00A35ED6"/>
    <w:rsid w:val="00A36CDB"/>
    <w:rsid w:val="00A406A3"/>
    <w:rsid w:val="00A447E0"/>
    <w:rsid w:val="00A4500A"/>
    <w:rsid w:val="00A47F79"/>
    <w:rsid w:val="00A50F22"/>
    <w:rsid w:val="00A51D9B"/>
    <w:rsid w:val="00A523D5"/>
    <w:rsid w:val="00A52DE0"/>
    <w:rsid w:val="00A62432"/>
    <w:rsid w:val="00A63428"/>
    <w:rsid w:val="00A63889"/>
    <w:rsid w:val="00A64001"/>
    <w:rsid w:val="00A645A2"/>
    <w:rsid w:val="00A65E2B"/>
    <w:rsid w:val="00A70528"/>
    <w:rsid w:val="00A7364D"/>
    <w:rsid w:val="00A74522"/>
    <w:rsid w:val="00A77795"/>
    <w:rsid w:val="00A8164D"/>
    <w:rsid w:val="00A83394"/>
    <w:rsid w:val="00A84246"/>
    <w:rsid w:val="00A8462D"/>
    <w:rsid w:val="00A84D9C"/>
    <w:rsid w:val="00A85C74"/>
    <w:rsid w:val="00A864D2"/>
    <w:rsid w:val="00A87D7A"/>
    <w:rsid w:val="00A92F7A"/>
    <w:rsid w:val="00A942FC"/>
    <w:rsid w:val="00A95DB5"/>
    <w:rsid w:val="00AA0526"/>
    <w:rsid w:val="00AA30D4"/>
    <w:rsid w:val="00AA3D6D"/>
    <w:rsid w:val="00AA6649"/>
    <w:rsid w:val="00AB2F09"/>
    <w:rsid w:val="00AB3EEB"/>
    <w:rsid w:val="00AB552E"/>
    <w:rsid w:val="00AB6545"/>
    <w:rsid w:val="00AB67BC"/>
    <w:rsid w:val="00AC1A1E"/>
    <w:rsid w:val="00AC1D22"/>
    <w:rsid w:val="00AC5628"/>
    <w:rsid w:val="00AD35DF"/>
    <w:rsid w:val="00AD5BAF"/>
    <w:rsid w:val="00AD637D"/>
    <w:rsid w:val="00AD6CA0"/>
    <w:rsid w:val="00AD6F97"/>
    <w:rsid w:val="00AD7E57"/>
    <w:rsid w:val="00AD7E66"/>
    <w:rsid w:val="00AE0F73"/>
    <w:rsid w:val="00AE365B"/>
    <w:rsid w:val="00AE45DA"/>
    <w:rsid w:val="00AE6A7B"/>
    <w:rsid w:val="00AF07E5"/>
    <w:rsid w:val="00AF26F6"/>
    <w:rsid w:val="00AF3377"/>
    <w:rsid w:val="00AF5882"/>
    <w:rsid w:val="00AF6D7D"/>
    <w:rsid w:val="00B052CE"/>
    <w:rsid w:val="00B05ADA"/>
    <w:rsid w:val="00B06C6A"/>
    <w:rsid w:val="00B06EC7"/>
    <w:rsid w:val="00B12C2F"/>
    <w:rsid w:val="00B14414"/>
    <w:rsid w:val="00B14D36"/>
    <w:rsid w:val="00B154F7"/>
    <w:rsid w:val="00B16F02"/>
    <w:rsid w:val="00B1707D"/>
    <w:rsid w:val="00B21F92"/>
    <w:rsid w:val="00B222CA"/>
    <w:rsid w:val="00B229E3"/>
    <w:rsid w:val="00B252F2"/>
    <w:rsid w:val="00B26D99"/>
    <w:rsid w:val="00B27DAE"/>
    <w:rsid w:val="00B401DB"/>
    <w:rsid w:val="00B4071F"/>
    <w:rsid w:val="00B51854"/>
    <w:rsid w:val="00B5189B"/>
    <w:rsid w:val="00B52518"/>
    <w:rsid w:val="00B56DE5"/>
    <w:rsid w:val="00B571A0"/>
    <w:rsid w:val="00B60DFE"/>
    <w:rsid w:val="00B615E0"/>
    <w:rsid w:val="00B63A83"/>
    <w:rsid w:val="00B63FAA"/>
    <w:rsid w:val="00B644BF"/>
    <w:rsid w:val="00B65480"/>
    <w:rsid w:val="00B65A5D"/>
    <w:rsid w:val="00B71582"/>
    <w:rsid w:val="00B72321"/>
    <w:rsid w:val="00B733F5"/>
    <w:rsid w:val="00B76C26"/>
    <w:rsid w:val="00B77053"/>
    <w:rsid w:val="00B83BA3"/>
    <w:rsid w:val="00B86182"/>
    <w:rsid w:val="00B86F7F"/>
    <w:rsid w:val="00B879F0"/>
    <w:rsid w:val="00B911D3"/>
    <w:rsid w:val="00B92230"/>
    <w:rsid w:val="00B93D1E"/>
    <w:rsid w:val="00B96B57"/>
    <w:rsid w:val="00BA1D44"/>
    <w:rsid w:val="00BA2050"/>
    <w:rsid w:val="00BA421D"/>
    <w:rsid w:val="00BA4888"/>
    <w:rsid w:val="00BB2B2B"/>
    <w:rsid w:val="00BB2E96"/>
    <w:rsid w:val="00BB5D86"/>
    <w:rsid w:val="00BC4FD0"/>
    <w:rsid w:val="00BC538E"/>
    <w:rsid w:val="00BD0B12"/>
    <w:rsid w:val="00BD17D7"/>
    <w:rsid w:val="00BD3570"/>
    <w:rsid w:val="00BD6FE7"/>
    <w:rsid w:val="00BD76C7"/>
    <w:rsid w:val="00BE2A00"/>
    <w:rsid w:val="00BE532E"/>
    <w:rsid w:val="00BE567E"/>
    <w:rsid w:val="00BE6819"/>
    <w:rsid w:val="00BE6D7F"/>
    <w:rsid w:val="00BE7A63"/>
    <w:rsid w:val="00BF04C1"/>
    <w:rsid w:val="00BF44B1"/>
    <w:rsid w:val="00BF5D54"/>
    <w:rsid w:val="00C0174D"/>
    <w:rsid w:val="00C04536"/>
    <w:rsid w:val="00C07CB1"/>
    <w:rsid w:val="00C130F0"/>
    <w:rsid w:val="00C14346"/>
    <w:rsid w:val="00C14505"/>
    <w:rsid w:val="00C159A6"/>
    <w:rsid w:val="00C17B66"/>
    <w:rsid w:val="00C20C2C"/>
    <w:rsid w:val="00C21C34"/>
    <w:rsid w:val="00C23FA9"/>
    <w:rsid w:val="00C26E84"/>
    <w:rsid w:val="00C31409"/>
    <w:rsid w:val="00C31F25"/>
    <w:rsid w:val="00C36822"/>
    <w:rsid w:val="00C3766D"/>
    <w:rsid w:val="00C40E12"/>
    <w:rsid w:val="00C42ECB"/>
    <w:rsid w:val="00C4356D"/>
    <w:rsid w:val="00C43674"/>
    <w:rsid w:val="00C440B6"/>
    <w:rsid w:val="00C4530B"/>
    <w:rsid w:val="00C47C8C"/>
    <w:rsid w:val="00C5076D"/>
    <w:rsid w:val="00C550BE"/>
    <w:rsid w:val="00C55268"/>
    <w:rsid w:val="00C565AC"/>
    <w:rsid w:val="00C5757D"/>
    <w:rsid w:val="00C57F06"/>
    <w:rsid w:val="00C61FE1"/>
    <w:rsid w:val="00C63FFE"/>
    <w:rsid w:val="00C6696B"/>
    <w:rsid w:val="00C673A8"/>
    <w:rsid w:val="00C67AFC"/>
    <w:rsid w:val="00C67D4A"/>
    <w:rsid w:val="00C755E0"/>
    <w:rsid w:val="00C774D4"/>
    <w:rsid w:val="00C77A9E"/>
    <w:rsid w:val="00C80350"/>
    <w:rsid w:val="00C81751"/>
    <w:rsid w:val="00C822ED"/>
    <w:rsid w:val="00C84420"/>
    <w:rsid w:val="00C85174"/>
    <w:rsid w:val="00C86B81"/>
    <w:rsid w:val="00C90C6D"/>
    <w:rsid w:val="00C91281"/>
    <w:rsid w:val="00C93C52"/>
    <w:rsid w:val="00C947ED"/>
    <w:rsid w:val="00CA1F2B"/>
    <w:rsid w:val="00CA2DA4"/>
    <w:rsid w:val="00CA3574"/>
    <w:rsid w:val="00CA3F39"/>
    <w:rsid w:val="00CA50BC"/>
    <w:rsid w:val="00CB11BE"/>
    <w:rsid w:val="00CB16E1"/>
    <w:rsid w:val="00CB2472"/>
    <w:rsid w:val="00CB4691"/>
    <w:rsid w:val="00CB7C91"/>
    <w:rsid w:val="00CC0B5F"/>
    <w:rsid w:val="00CC237A"/>
    <w:rsid w:val="00CC2E73"/>
    <w:rsid w:val="00CC3AB1"/>
    <w:rsid w:val="00CC3D1F"/>
    <w:rsid w:val="00CC3D40"/>
    <w:rsid w:val="00CC7B27"/>
    <w:rsid w:val="00CD1501"/>
    <w:rsid w:val="00CD6808"/>
    <w:rsid w:val="00CD6F0A"/>
    <w:rsid w:val="00CD741D"/>
    <w:rsid w:val="00CD7A81"/>
    <w:rsid w:val="00CE0B2A"/>
    <w:rsid w:val="00CE3AB8"/>
    <w:rsid w:val="00CE6716"/>
    <w:rsid w:val="00CE7B42"/>
    <w:rsid w:val="00CF1F9C"/>
    <w:rsid w:val="00CF4873"/>
    <w:rsid w:val="00CF5311"/>
    <w:rsid w:val="00CF67D8"/>
    <w:rsid w:val="00D00B2F"/>
    <w:rsid w:val="00D038E8"/>
    <w:rsid w:val="00D05BF5"/>
    <w:rsid w:val="00D0676C"/>
    <w:rsid w:val="00D077D7"/>
    <w:rsid w:val="00D100E0"/>
    <w:rsid w:val="00D10EC1"/>
    <w:rsid w:val="00D12C32"/>
    <w:rsid w:val="00D1595E"/>
    <w:rsid w:val="00D15B72"/>
    <w:rsid w:val="00D162B8"/>
    <w:rsid w:val="00D214AA"/>
    <w:rsid w:val="00D21A81"/>
    <w:rsid w:val="00D2599E"/>
    <w:rsid w:val="00D26567"/>
    <w:rsid w:val="00D26950"/>
    <w:rsid w:val="00D27584"/>
    <w:rsid w:val="00D3159F"/>
    <w:rsid w:val="00D35E8E"/>
    <w:rsid w:val="00D36B60"/>
    <w:rsid w:val="00D36D9D"/>
    <w:rsid w:val="00D43070"/>
    <w:rsid w:val="00D44B1A"/>
    <w:rsid w:val="00D455B8"/>
    <w:rsid w:val="00D458B7"/>
    <w:rsid w:val="00D45910"/>
    <w:rsid w:val="00D462B0"/>
    <w:rsid w:val="00D46356"/>
    <w:rsid w:val="00D47FDB"/>
    <w:rsid w:val="00D5146B"/>
    <w:rsid w:val="00D55967"/>
    <w:rsid w:val="00D56F23"/>
    <w:rsid w:val="00D62701"/>
    <w:rsid w:val="00D66D48"/>
    <w:rsid w:val="00D71311"/>
    <w:rsid w:val="00D73B6E"/>
    <w:rsid w:val="00D743E1"/>
    <w:rsid w:val="00D76485"/>
    <w:rsid w:val="00D769F8"/>
    <w:rsid w:val="00D808F6"/>
    <w:rsid w:val="00D80B6C"/>
    <w:rsid w:val="00D8722B"/>
    <w:rsid w:val="00D94022"/>
    <w:rsid w:val="00D9543C"/>
    <w:rsid w:val="00D97B57"/>
    <w:rsid w:val="00DA1198"/>
    <w:rsid w:val="00DA2F49"/>
    <w:rsid w:val="00DA3FC2"/>
    <w:rsid w:val="00DA4622"/>
    <w:rsid w:val="00DA4E40"/>
    <w:rsid w:val="00DA6BD2"/>
    <w:rsid w:val="00DA72B0"/>
    <w:rsid w:val="00DA790B"/>
    <w:rsid w:val="00DB65DC"/>
    <w:rsid w:val="00DB6711"/>
    <w:rsid w:val="00DC00E6"/>
    <w:rsid w:val="00DC0983"/>
    <w:rsid w:val="00DC0DA8"/>
    <w:rsid w:val="00DC5585"/>
    <w:rsid w:val="00DD219A"/>
    <w:rsid w:val="00DD36E3"/>
    <w:rsid w:val="00DD42DF"/>
    <w:rsid w:val="00DD5A12"/>
    <w:rsid w:val="00DE2EB4"/>
    <w:rsid w:val="00DE2F2A"/>
    <w:rsid w:val="00DE3509"/>
    <w:rsid w:val="00DE38A4"/>
    <w:rsid w:val="00DE40A8"/>
    <w:rsid w:val="00DE5D44"/>
    <w:rsid w:val="00DE7BD9"/>
    <w:rsid w:val="00DF5D07"/>
    <w:rsid w:val="00DF7197"/>
    <w:rsid w:val="00DF7E37"/>
    <w:rsid w:val="00E0357A"/>
    <w:rsid w:val="00E04ACA"/>
    <w:rsid w:val="00E0728B"/>
    <w:rsid w:val="00E077F4"/>
    <w:rsid w:val="00E10F27"/>
    <w:rsid w:val="00E15AD7"/>
    <w:rsid w:val="00E2040C"/>
    <w:rsid w:val="00E204BE"/>
    <w:rsid w:val="00E20A09"/>
    <w:rsid w:val="00E21090"/>
    <w:rsid w:val="00E21CC6"/>
    <w:rsid w:val="00E252FB"/>
    <w:rsid w:val="00E267FE"/>
    <w:rsid w:val="00E26FE8"/>
    <w:rsid w:val="00E276D8"/>
    <w:rsid w:val="00E32346"/>
    <w:rsid w:val="00E33AD5"/>
    <w:rsid w:val="00E343F9"/>
    <w:rsid w:val="00E348CB"/>
    <w:rsid w:val="00E34D40"/>
    <w:rsid w:val="00E35D43"/>
    <w:rsid w:val="00E35F13"/>
    <w:rsid w:val="00E3690A"/>
    <w:rsid w:val="00E37C46"/>
    <w:rsid w:val="00E4125B"/>
    <w:rsid w:val="00E44954"/>
    <w:rsid w:val="00E478A7"/>
    <w:rsid w:val="00E5140C"/>
    <w:rsid w:val="00E53936"/>
    <w:rsid w:val="00E553FA"/>
    <w:rsid w:val="00E554F7"/>
    <w:rsid w:val="00E56957"/>
    <w:rsid w:val="00E61BBD"/>
    <w:rsid w:val="00E6281B"/>
    <w:rsid w:val="00E663FC"/>
    <w:rsid w:val="00E73578"/>
    <w:rsid w:val="00E7521A"/>
    <w:rsid w:val="00E7548D"/>
    <w:rsid w:val="00E76F5B"/>
    <w:rsid w:val="00E806FF"/>
    <w:rsid w:val="00E82A4F"/>
    <w:rsid w:val="00E9127D"/>
    <w:rsid w:val="00E92950"/>
    <w:rsid w:val="00E92F48"/>
    <w:rsid w:val="00E957BC"/>
    <w:rsid w:val="00EA22D4"/>
    <w:rsid w:val="00EA2D44"/>
    <w:rsid w:val="00EA52D7"/>
    <w:rsid w:val="00EA5337"/>
    <w:rsid w:val="00EB1E62"/>
    <w:rsid w:val="00EB3BA9"/>
    <w:rsid w:val="00EB589E"/>
    <w:rsid w:val="00EB65B3"/>
    <w:rsid w:val="00EC0310"/>
    <w:rsid w:val="00EC4CF9"/>
    <w:rsid w:val="00ED1398"/>
    <w:rsid w:val="00ED53CC"/>
    <w:rsid w:val="00EE0484"/>
    <w:rsid w:val="00EE35B1"/>
    <w:rsid w:val="00EE49E0"/>
    <w:rsid w:val="00EF182D"/>
    <w:rsid w:val="00EF3074"/>
    <w:rsid w:val="00EF7E15"/>
    <w:rsid w:val="00F039C7"/>
    <w:rsid w:val="00F03A85"/>
    <w:rsid w:val="00F060F4"/>
    <w:rsid w:val="00F068B1"/>
    <w:rsid w:val="00F0711C"/>
    <w:rsid w:val="00F1193A"/>
    <w:rsid w:val="00F124D7"/>
    <w:rsid w:val="00F15DA7"/>
    <w:rsid w:val="00F167A7"/>
    <w:rsid w:val="00F16DDA"/>
    <w:rsid w:val="00F20025"/>
    <w:rsid w:val="00F20E8D"/>
    <w:rsid w:val="00F20F30"/>
    <w:rsid w:val="00F22289"/>
    <w:rsid w:val="00F24DCA"/>
    <w:rsid w:val="00F27996"/>
    <w:rsid w:val="00F338EB"/>
    <w:rsid w:val="00F342FF"/>
    <w:rsid w:val="00F45FF2"/>
    <w:rsid w:val="00F46A3A"/>
    <w:rsid w:val="00F4700A"/>
    <w:rsid w:val="00F47124"/>
    <w:rsid w:val="00F54222"/>
    <w:rsid w:val="00F61F03"/>
    <w:rsid w:val="00F64BCA"/>
    <w:rsid w:val="00F66C7C"/>
    <w:rsid w:val="00F710C7"/>
    <w:rsid w:val="00F71A21"/>
    <w:rsid w:val="00F72AF5"/>
    <w:rsid w:val="00F734D9"/>
    <w:rsid w:val="00F75A57"/>
    <w:rsid w:val="00F75E64"/>
    <w:rsid w:val="00F778D1"/>
    <w:rsid w:val="00F779B9"/>
    <w:rsid w:val="00F8105D"/>
    <w:rsid w:val="00F822D5"/>
    <w:rsid w:val="00F83037"/>
    <w:rsid w:val="00F84745"/>
    <w:rsid w:val="00F847E4"/>
    <w:rsid w:val="00F87081"/>
    <w:rsid w:val="00F93B46"/>
    <w:rsid w:val="00FA2341"/>
    <w:rsid w:val="00FA2B8E"/>
    <w:rsid w:val="00FA2C04"/>
    <w:rsid w:val="00FA542B"/>
    <w:rsid w:val="00FB29B7"/>
    <w:rsid w:val="00FB4816"/>
    <w:rsid w:val="00FB4BA0"/>
    <w:rsid w:val="00FB591A"/>
    <w:rsid w:val="00FC1132"/>
    <w:rsid w:val="00FC3897"/>
    <w:rsid w:val="00FC5745"/>
    <w:rsid w:val="00FD1694"/>
    <w:rsid w:val="00FD1921"/>
    <w:rsid w:val="00FD3088"/>
    <w:rsid w:val="00FD45D3"/>
    <w:rsid w:val="00FD5A5B"/>
    <w:rsid w:val="00FD726C"/>
    <w:rsid w:val="00FD749C"/>
    <w:rsid w:val="00FE0108"/>
    <w:rsid w:val="00FE0166"/>
    <w:rsid w:val="00FE12A8"/>
    <w:rsid w:val="00FE277F"/>
    <w:rsid w:val="00FE3648"/>
    <w:rsid w:val="00FE6AA5"/>
    <w:rsid w:val="00FF04A2"/>
    <w:rsid w:val="00FF324E"/>
    <w:rsid w:val="00FF6AB8"/>
    <w:rsid w:val="00FF6C1F"/>
    <w:rsid w:val="01C57787"/>
    <w:rsid w:val="02344031"/>
    <w:rsid w:val="04691752"/>
    <w:rsid w:val="06B9108C"/>
    <w:rsid w:val="09614D9F"/>
    <w:rsid w:val="09F80661"/>
    <w:rsid w:val="0B04F1B1"/>
    <w:rsid w:val="0BBCD930"/>
    <w:rsid w:val="0C1F5BD3"/>
    <w:rsid w:val="16C8433B"/>
    <w:rsid w:val="1A055995"/>
    <w:rsid w:val="1C1AA7A4"/>
    <w:rsid w:val="2567C465"/>
    <w:rsid w:val="2CD2FDF3"/>
    <w:rsid w:val="2D9ED3A6"/>
    <w:rsid w:val="2F35A49C"/>
    <w:rsid w:val="3079840C"/>
    <w:rsid w:val="35EDAD8A"/>
    <w:rsid w:val="3B2D51A2"/>
    <w:rsid w:val="3CB9FBF1"/>
    <w:rsid w:val="4223DCC6"/>
    <w:rsid w:val="422476C7"/>
    <w:rsid w:val="481F0F89"/>
    <w:rsid w:val="498E7CAE"/>
    <w:rsid w:val="4B96E4AB"/>
    <w:rsid w:val="4D30D6DB"/>
    <w:rsid w:val="5EC3C720"/>
    <w:rsid w:val="69B13700"/>
    <w:rsid w:val="70C92A8A"/>
    <w:rsid w:val="71DB2FD7"/>
    <w:rsid w:val="72A85E43"/>
    <w:rsid w:val="7ABB7262"/>
    <w:rsid w:val="7B96DB54"/>
    <w:rsid w:val="7EE7250F"/>
    <w:rsid w:val="7F6E8337"/>
    <w:rsid w:val="7FCA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3BAB"/>
  <w15:chartTrackingRefBased/>
  <w15:docId w15:val="{158CBF94-73DB-4534-9D0E-825233A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3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A50F22"/>
    <w:pPr>
      <w:jc w:val="center"/>
      <w:outlineLvl w:val="0"/>
    </w:pPr>
    <w:rPr>
      <w:rFonts w:cs="Times New Roman"/>
      <w:b/>
    </w:rPr>
  </w:style>
  <w:style w:type="paragraph" w:styleId="Heading2">
    <w:name w:val="heading 2"/>
    <w:basedOn w:val="Normal"/>
    <w:next w:val="Normal"/>
    <w:link w:val="Heading2Char"/>
    <w:uiPriority w:val="9"/>
    <w:unhideWhenUsed/>
    <w:qFormat/>
    <w:rsid w:val="006D1107"/>
    <w:pPr>
      <w:outlineLvl w:val="1"/>
    </w:pPr>
    <w:rPr>
      <w:rFonts w:cs="Times New Roman"/>
      <w:b/>
      <w:bCs/>
    </w:rPr>
  </w:style>
  <w:style w:type="paragraph" w:styleId="Heading3">
    <w:name w:val="heading 3"/>
    <w:basedOn w:val="Normal"/>
    <w:next w:val="Normal"/>
    <w:link w:val="Heading3Char"/>
    <w:uiPriority w:val="9"/>
    <w:unhideWhenUsed/>
    <w:qFormat/>
    <w:rsid w:val="002A0B90"/>
    <w:pPr>
      <w:outlineLvl w:val="2"/>
    </w:pPr>
    <w:rPr>
      <w:b/>
      <w:bCs/>
    </w:rPr>
  </w:style>
  <w:style w:type="paragraph" w:styleId="Heading4">
    <w:name w:val="heading 4"/>
    <w:basedOn w:val="Heading2"/>
    <w:next w:val="Normal"/>
    <w:link w:val="Heading4Char"/>
    <w:uiPriority w:val="9"/>
    <w:unhideWhenUsed/>
    <w:qFormat/>
    <w:rsid w:val="00CE7B4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64D2"/>
    <w:rPr>
      <w:sz w:val="16"/>
      <w:szCs w:val="16"/>
    </w:rPr>
  </w:style>
  <w:style w:type="paragraph" w:styleId="CommentText">
    <w:name w:val="annotation text"/>
    <w:basedOn w:val="Normal"/>
    <w:link w:val="CommentTextChar"/>
    <w:uiPriority w:val="99"/>
    <w:unhideWhenUsed/>
    <w:rsid w:val="009364D2"/>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9364D2"/>
    <w:rPr>
      <w:sz w:val="20"/>
      <w:szCs w:val="20"/>
    </w:rPr>
  </w:style>
  <w:style w:type="character" w:styleId="FootnoteReference">
    <w:name w:val="footnote reference"/>
    <w:uiPriority w:val="99"/>
    <w:rsid w:val="009364D2"/>
    <w:rPr>
      <w:vertAlign w:val="superscript"/>
    </w:rPr>
  </w:style>
  <w:style w:type="paragraph" w:styleId="BalloonText">
    <w:name w:val="Balloon Text"/>
    <w:basedOn w:val="Normal"/>
    <w:link w:val="BalloonTextChar"/>
    <w:uiPriority w:val="99"/>
    <w:semiHidden/>
    <w:unhideWhenUsed/>
    <w:rsid w:val="0093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2"/>
    <w:rPr>
      <w:rFonts w:ascii="Segoe UI" w:hAnsi="Segoe UI" w:cs="Segoe UI"/>
      <w:sz w:val="18"/>
      <w:szCs w:val="18"/>
    </w:rPr>
  </w:style>
  <w:style w:type="paragraph" w:styleId="Header">
    <w:name w:val="header"/>
    <w:basedOn w:val="Normal"/>
    <w:link w:val="HeaderChar"/>
    <w:uiPriority w:val="99"/>
    <w:unhideWhenUsed/>
    <w:rsid w:val="00F71A21"/>
    <w:pPr>
      <w:tabs>
        <w:tab w:val="center" w:pos="4680"/>
        <w:tab w:val="right" w:pos="9360"/>
      </w:tabs>
    </w:pPr>
  </w:style>
  <w:style w:type="character" w:customStyle="1" w:styleId="HeaderChar">
    <w:name w:val="Header Char"/>
    <w:basedOn w:val="DefaultParagraphFont"/>
    <w:link w:val="Header"/>
    <w:uiPriority w:val="99"/>
    <w:rsid w:val="00F71A21"/>
    <w:rPr>
      <w:rFonts w:ascii="Times New Roman" w:hAnsi="Times New Roman"/>
      <w:sz w:val="24"/>
    </w:rPr>
  </w:style>
  <w:style w:type="paragraph" w:styleId="Footer">
    <w:name w:val="footer"/>
    <w:basedOn w:val="Normal"/>
    <w:link w:val="FooterChar"/>
    <w:uiPriority w:val="99"/>
    <w:unhideWhenUsed/>
    <w:rsid w:val="00F71A21"/>
    <w:pPr>
      <w:tabs>
        <w:tab w:val="center" w:pos="4680"/>
        <w:tab w:val="right" w:pos="9360"/>
      </w:tabs>
    </w:pPr>
  </w:style>
  <w:style w:type="character" w:customStyle="1" w:styleId="FooterChar">
    <w:name w:val="Footer Char"/>
    <w:basedOn w:val="DefaultParagraphFont"/>
    <w:link w:val="Footer"/>
    <w:uiPriority w:val="99"/>
    <w:rsid w:val="00F71A21"/>
    <w:rPr>
      <w:rFonts w:ascii="Times New Roman" w:hAnsi="Times New Roman"/>
      <w:sz w:val="24"/>
    </w:rPr>
  </w:style>
  <w:style w:type="paragraph" w:styleId="FootnoteText">
    <w:name w:val="footnote text"/>
    <w:basedOn w:val="Normal"/>
    <w:link w:val="FootnoteTextChar"/>
    <w:uiPriority w:val="99"/>
    <w:unhideWhenUsed/>
    <w:rsid w:val="00130296"/>
    <w:rPr>
      <w:rFonts w:asciiTheme="minorHAnsi" w:hAnsiTheme="minorHAnsi"/>
      <w:sz w:val="20"/>
      <w:szCs w:val="20"/>
    </w:rPr>
  </w:style>
  <w:style w:type="character" w:customStyle="1" w:styleId="FootnoteTextChar">
    <w:name w:val="Footnote Text Char"/>
    <w:basedOn w:val="DefaultParagraphFont"/>
    <w:link w:val="FootnoteText"/>
    <w:uiPriority w:val="99"/>
    <w:rsid w:val="00130296"/>
    <w:rPr>
      <w:sz w:val="20"/>
      <w:szCs w:val="20"/>
    </w:rPr>
  </w:style>
  <w:style w:type="paragraph" w:styleId="CommentSubject">
    <w:name w:val="annotation subject"/>
    <w:basedOn w:val="CommentText"/>
    <w:next w:val="CommentText"/>
    <w:link w:val="CommentSubjectChar"/>
    <w:uiPriority w:val="99"/>
    <w:semiHidden/>
    <w:unhideWhenUsed/>
    <w:rsid w:val="00395D5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395D53"/>
    <w:rPr>
      <w:rFonts w:ascii="Times New Roman" w:hAnsi="Times New Roman"/>
      <w:b/>
      <w:bCs/>
      <w:sz w:val="20"/>
      <w:szCs w:val="20"/>
    </w:rPr>
  </w:style>
  <w:style w:type="paragraph" w:styleId="ListParagraph">
    <w:name w:val="List Paragraph"/>
    <w:basedOn w:val="Normal"/>
    <w:uiPriority w:val="34"/>
    <w:qFormat/>
    <w:rsid w:val="004458A5"/>
    <w:pPr>
      <w:ind w:left="720"/>
      <w:contextualSpacing/>
    </w:pPr>
  </w:style>
  <w:style w:type="character" w:customStyle="1" w:styleId="Heading1Char">
    <w:name w:val="Heading 1 Char"/>
    <w:basedOn w:val="DefaultParagraphFont"/>
    <w:link w:val="Heading1"/>
    <w:uiPriority w:val="9"/>
    <w:rsid w:val="00A50F22"/>
    <w:rPr>
      <w:rFonts w:ascii="Times New Roman" w:hAnsi="Times New Roman" w:cs="Times New Roman"/>
      <w:b/>
      <w:sz w:val="24"/>
    </w:rPr>
  </w:style>
  <w:style w:type="character" w:customStyle="1" w:styleId="Heading2Char">
    <w:name w:val="Heading 2 Char"/>
    <w:basedOn w:val="DefaultParagraphFont"/>
    <w:link w:val="Heading2"/>
    <w:uiPriority w:val="9"/>
    <w:rsid w:val="006D1107"/>
    <w:rPr>
      <w:rFonts w:ascii="Times New Roman" w:hAnsi="Times New Roman" w:cs="Times New Roman"/>
      <w:b/>
      <w:bCs/>
      <w:sz w:val="24"/>
    </w:rPr>
  </w:style>
  <w:style w:type="character" w:customStyle="1" w:styleId="Heading3Char">
    <w:name w:val="Heading 3 Char"/>
    <w:basedOn w:val="DefaultParagraphFont"/>
    <w:link w:val="Heading3"/>
    <w:uiPriority w:val="9"/>
    <w:rsid w:val="002A0B90"/>
    <w:rPr>
      <w:rFonts w:ascii="Times New Roman" w:hAnsi="Times New Roman"/>
      <w:b/>
      <w:bCs/>
      <w:sz w:val="24"/>
    </w:rPr>
  </w:style>
  <w:style w:type="character" w:customStyle="1" w:styleId="Heading4Char">
    <w:name w:val="Heading 4 Char"/>
    <w:basedOn w:val="DefaultParagraphFont"/>
    <w:link w:val="Heading4"/>
    <w:uiPriority w:val="9"/>
    <w:rsid w:val="00CE7B42"/>
    <w:rPr>
      <w:rFonts w:ascii="Times New Roman" w:hAnsi="Times New Roman" w:cs="Times New Roman"/>
      <w:b/>
      <w:bCs/>
      <w:sz w:val="24"/>
    </w:rPr>
  </w:style>
  <w:style w:type="paragraph" w:styleId="NormalWeb">
    <w:name w:val="Normal (Web)"/>
    <w:basedOn w:val="Normal"/>
    <w:uiPriority w:val="99"/>
    <w:semiHidden/>
    <w:unhideWhenUsed/>
    <w:rsid w:val="003E4CB2"/>
    <w:pPr>
      <w:spacing w:before="100" w:beforeAutospacing="1" w:after="100" w:afterAutospacing="1" w:line="240" w:lineRule="auto"/>
    </w:pPr>
    <w:rPr>
      <w:rFonts w:eastAsia="Times New Roman" w:cs="Times New Roman"/>
      <w:szCs w:val="24"/>
    </w:rPr>
  </w:style>
  <w:style w:type="paragraph" w:styleId="Bibliography">
    <w:name w:val="Bibliography"/>
    <w:basedOn w:val="Normal"/>
    <w:next w:val="Normal"/>
    <w:uiPriority w:val="37"/>
    <w:semiHidden/>
    <w:unhideWhenUsed/>
    <w:rsid w:val="004712A8"/>
  </w:style>
  <w:style w:type="paragraph" w:styleId="Revision">
    <w:name w:val="Revision"/>
    <w:hidden/>
    <w:uiPriority w:val="99"/>
    <w:semiHidden/>
    <w:rsid w:val="009D46F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0220">
      <w:bodyDiv w:val="1"/>
      <w:marLeft w:val="0"/>
      <w:marRight w:val="0"/>
      <w:marTop w:val="0"/>
      <w:marBottom w:val="0"/>
      <w:divBdr>
        <w:top w:val="none" w:sz="0" w:space="0" w:color="auto"/>
        <w:left w:val="none" w:sz="0" w:space="0" w:color="auto"/>
        <w:bottom w:val="none" w:sz="0" w:space="0" w:color="auto"/>
        <w:right w:val="none" w:sz="0" w:space="0" w:color="auto"/>
      </w:divBdr>
    </w:div>
    <w:div w:id="488912360">
      <w:bodyDiv w:val="1"/>
      <w:marLeft w:val="0"/>
      <w:marRight w:val="0"/>
      <w:marTop w:val="0"/>
      <w:marBottom w:val="0"/>
      <w:divBdr>
        <w:top w:val="none" w:sz="0" w:space="0" w:color="auto"/>
        <w:left w:val="none" w:sz="0" w:space="0" w:color="auto"/>
        <w:bottom w:val="none" w:sz="0" w:space="0" w:color="auto"/>
        <w:right w:val="none" w:sz="0" w:space="0" w:color="auto"/>
      </w:divBdr>
    </w:div>
    <w:div w:id="689644138">
      <w:bodyDiv w:val="1"/>
      <w:marLeft w:val="0"/>
      <w:marRight w:val="0"/>
      <w:marTop w:val="0"/>
      <w:marBottom w:val="0"/>
      <w:divBdr>
        <w:top w:val="none" w:sz="0" w:space="0" w:color="auto"/>
        <w:left w:val="none" w:sz="0" w:space="0" w:color="auto"/>
        <w:bottom w:val="none" w:sz="0" w:space="0" w:color="auto"/>
        <w:right w:val="none" w:sz="0" w:space="0" w:color="auto"/>
      </w:divBdr>
    </w:div>
    <w:div w:id="731276975">
      <w:bodyDiv w:val="1"/>
      <w:marLeft w:val="0"/>
      <w:marRight w:val="0"/>
      <w:marTop w:val="0"/>
      <w:marBottom w:val="0"/>
      <w:divBdr>
        <w:top w:val="none" w:sz="0" w:space="0" w:color="auto"/>
        <w:left w:val="none" w:sz="0" w:space="0" w:color="auto"/>
        <w:bottom w:val="none" w:sz="0" w:space="0" w:color="auto"/>
        <w:right w:val="none" w:sz="0" w:space="0" w:color="auto"/>
      </w:divBdr>
    </w:div>
    <w:div w:id="840854843">
      <w:bodyDiv w:val="1"/>
      <w:marLeft w:val="0"/>
      <w:marRight w:val="0"/>
      <w:marTop w:val="0"/>
      <w:marBottom w:val="0"/>
      <w:divBdr>
        <w:top w:val="none" w:sz="0" w:space="0" w:color="auto"/>
        <w:left w:val="none" w:sz="0" w:space="0" w:color="auto"/>
        <w:bottom w:val="none" w:sz="0" w:space="0" w:color="auto"/>
        <w:right w:val="none" w:sz="0" w:space="0" w:color="auto"/>
      </w:divBdr>
    </w:div>
    <w:div w:id="1029837159">
      <w:bodyDiv w:val="1"/>
      <w:marLeft w:val="0"/>
      <w:marRight w:val="0"/>
      <w:marTop w:val="0"/>
      <w:marBottom w:val="0"/>
      <w:divBdr>
        <w:top w:val="none" w:sz="0" w:space="0" w:color="auto"/>
        <w:left w:val="none" w:sz="0" w:space="0" w:color="auto"/>
        <w:bottom w:val="none" w:sz="0" w:space="0" w:color="auto"/>
        <w:right w:val="none" w:sz="0" w:space="0" w:color="auto"/>
      </w:divBdr>
    </w:div>
    <w:div w:id="1089159297">
      <w:bodyDiv w:val="1"/>
      <w:marLeft w:val="0"/>
      <w:marRight w:val="0"/>
      <w:marTop w:val="0"/>
      <w:marBottom w:val="0"/>
      <w:divBdr>
        <w:top w:val="none" w:sz="0" w:space="0" w:color="auto"/>
        <w:left w:val="none" w:sz="0" w:space="0" w:color="auto"/>
        <w:bottom w:val="none" w:sz="0" w:space="0" w:color="auto"/>
        <w:right w:val="none" w:sz="0" w:space="0" w:color="auto"/>
      </w:divBdr>
    </w:div>
    <w:div w:id="1105199469">
      <w:bodyDiv w:val="1"/>
      <w:marLeft w:val="0"/>
      <w:marRight w:val="0"/>
      <w:marTop w:val="0"/>
      <w:marBottom w:val="0"/>
      <w:divBdr>
        <w:top w:val="none" w:sz="0" w:space="0" w:color="auto"/>
        <w:left w:val="none" w:sz="0" w:space="0" w:color="auto"/>
        <w:bottom w:val="none" w:sz="0" w:space="0" w:color="auto"/>
        <w:right w:val="none" w:sz="0" w:space="0" w:color="auto"/>
      </w:divBdr>
    </w:div>
    <w:div w:id="1136995044">
      <w:bodyDiv w:val="1"/>
      <w:marLeft w:val="0"/>
      <w:marRight w:val="0"/>
      <w:marTop w:val="0"/>
      <w:marBottom w:val="0"/>
      <w:divBdr>
        <w:top w:val="none" w:sz="0" w:space="0" w:color="auto"/>
        <w:left w:val="none" w:sz="0" w:space="0" w:color="auto"/>
        <w:bottom w:val="none" w:sz="0" w:space="0" w:color="auto"/>
        <w:right w:val="none" w:sz="0" w:space="0" w:color="auto"/>
      </w:divBdr>
    </w:div>
    <w:div w:id="1454516171">
      <w:bodyDiv w:val="1"/>
      <w:marLeft w:val="0"/>
      <w:marRight w:val="0"/>
      <w:marTop w:val="0"/>
      <w:marBottom w:val="0"/>
      <w:divBdr>
        <w:top w:val="none" w:sz="0" w:space="0" w:color="auto"/>
        <w:left w:val="none" w:sz="0" w:space="0" w:color="auto"/>
        <w:bottom w:val="none" w:sz="0" w:space="0" w:color="auto"/>
        <w:right w:val="none" w:sz="0" w:space="0" w:color="auto"/>
      </w:divBdr>
    </w:div>
    <w:div w:id="1465613726">
      <w:bodyDiv w:val="1"/>
      <w:marLeft w:val="0"/>
      <w:marRight w:val="0"/>
      <w:marTop w:val="0"/>
      <w:marBottom w:val="0"/>
      <w:divBdr>
        <w:top w:val="none" w:sz="0" w:space="0" w:color="auto"/>
        <w:left w:val="none" w:sz="0" w:space="0" w:color="auto"/>
        <w:bottom w:val="none" w:sz="0" w:space="0" w:color="auto"/>
        <w:right w:val="none" w:sz="0" w:space="0" w:color="auto"/>
      </w:divBdr>
    </w:div>
    <w:div w:id="16673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3094A-4626-4678-93F1-55C1D6B89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ED0EC-4ACF-4C97-9432-6AE81929B0DC}">
  <ds:schemaRefs>
    <ds:schemaRef ds:uri="http://schemas.microsoft.com/sharepoint/v3/contenttype/forms"/>
  </ds:schemaRefs>
</ds:datastoreItem>
</file>

<file path=customXml/itemProps3.xml><?xml version="1.0" encoding="utf-8"?>
<ds:datastoreItem xmlns:ds="http://schemas.openxmlformats.org/officeDocument/2006/customXml" ds:itemID="{266F4100-A486-43CA-83B9-838851079103}">
  <ds:schemaRefs>
    <ds:schemaRef ds:uri="http://schemas.openxmlformats.org/officeDocument/2006/bibliography"/>
  </ds:schemaRefs>
</ds:datastoreItem>
</file>

<file path=customXml/itemProps4.xml><?xml version="1.0" encoding="utf-8"?>
<ds:datastoreItem xmlns:ds="http://schemas.openxmlformats.org/officeDocument/2006/customXml" ds:itemID="{76CD948E-EF21-492A-9345-4FDA296F3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18161</Words>
  <Characters>103523</Characters>
  <Application>Microsoft Office Word</Application>
  <DocSecurity>0</DocSecurity>
  <Lines>862</Lines>
  <Paragraphs>242</Paragraphs>
  <ScaleCrop>false</ScaleCrop>
  <Company/>
  <LinksUpToDate>false</LinksUpToDate>
  <CharactersWithSpaces>121442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KREAGER, DEREK ALLEN</dc:creator>
  <cp:keywords/>
  <dc:description/>
  <cp:lastModifiedBy>Arsenault, Elaine P</cp:lastModifiedBy>
  <cp:revision>2</cp:revision>
  <dcterms:created xsi:type="dcterms:W3CDTF">2024-01-24T19:51:00Z</dcterms:created>
  <dcterms:modified xsi:type="dcterms:W3CDTF">2024-01-24T19:51:00Z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